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20" w:lineRule="exact"/>
        <w:jc w:val="center"/>
        <w:rPr>
          <w:rFonts w:ascii="方正小标宋_GBK" w:hAnsi="黑体" w:eastAsia="方正小标宋_GBK" w:cs="Times New Roman"/>
          <w:sz w:val="62"/>
          <w:szCs w:val="72"/>
        </w:rPr>
      </w:pPr>
      <w:bookmarkStart w:id="0" w:name="_Toc15897946"/>
      <w:r>
        <w:rPr>
          <w:rFonts w:hint="eastAsia" w:ascii="方正小标宋_GBK" w:hAnsi="黑体" w:eastAsia="方正小标宋_GBK" w:cs="Times New Roman"/>
          <w:sz w:val="62"/>
          <w:szCs w:val="72"/>
        </w:rPr>
        <w:t>湖南省高校思想政治工作质量提升工程项目</w:t>
      </w:r>
    </w:p>
    <w:p>
      <w:pPr>
        <w:widowControl/>
        <w:spacing w:line="520" w:lineRule="exact"/>
        <w:jc w:val="left"/>
        <w:rPr>
          <w:rFonts w:ascii="Times New Roman" w:hAnsi="Times New Roman" w:eastAsia="楷体_GB2312" w:cs="Times New Roman"/>
          <w:sz w:val="52"/>
          <w:szCs w:val="52"/>
        </w:rPr>
      </w:pPr>
    </w:p>
    <w:p>
      <w:pPr>
        <w:widowControl/>
        <w:spacing w:line="520" w:lineRule="exact"/>
        <w:jc w:val="left"/>
        <w:rPr>
          <w:rFonts w:ascii="Times New Roman" w:hAnsi="Times New Roman" w:eastAsia="楷体_GB2312" w:cs="Times New Roman"/>
          <w:sz w:val="32"/>
          <w:szCs w:val="32"/>
        </w:rPr>
      </w:pPr>
    </w:p>
    <w:p>
      <w:pPr>
        <w:widowControl/>
        <w:spacing w:line="520" w:lineRule="exact"/>
        <w:jc w:val="left"/>
        <w:rPr>
          <w:rFonts w:ascii="Times New Roman" w:hAnsi="Times New Roman" w:eastAsia="楷体_GB2312" w:cs="Times New Roman"/>
          <w:sz w:val="32"/>
          <w:szCs w:val="32"/>
        </w:rPr>
      </w:pP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资</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料</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汇</w:t>
      </w:r>
    </w:p>
    <w:p>
      <w:pPr>
        <w:widowControl/>
        <w:jc w:val="center"/>
        <w:rPr>
          <w:rFonts w:ascii="Times New Roman" w:hAnsi="Times New Roman" w:eastAsia="楷体_GB2312" w:cs="Times New Roman"/>
          <w:b/>
          <w:sz w:val="72"/>
        </w:rPr>
      </w:pPr>
      <w:r>
        <w:rPr>
          <w:rFonts w:hint="eastAsia" w:ascii="方正行楷简体" w:hAnsi="Times New Roman" w:eastAsia="方正行楷简体" w:cs="Times New Roman"/>
          <w:sz w:val="94"/>
        </w:rPr>
        <w:t>编</w:t>
      </w:r>
    </w:p>
    <w:p>
      <w:pPr>
        <w:widowControl/>
        <w:spacing w:line="440" w:lineRule="exact"/>
        <w:jc w:val="left"/>
        <w:rPr>
          <w:rFonts w:ascii="Times New Roman" w:hAnsi="Times New Roman" w:eastAsia="楷体_GB2312" w:cs="Times New Roman"/>
          <w:b/>
          <w:sz w:val="32"/>
          <w:szCs w:val="32"/>
        </w:rPr>
      </w:pPr>
    </w:p>
    <w:p>
      <w:pPr>
        <w:widowControl/>
        <w:spacing w:line="540" w:lineRule="exact"/>
        <w:jc w:val="center"/>
        <w:rPr>
          <w:rFonts w:ascii="楷体_GB2312" w:hAnsi="Times New Roman" w:eastAsia="楷体_GB2312" w:cs="Times New Roman"/>
          <w:b/>
          <w:sz w:val="34"/>
        </w:rPr>
      </w:pPr>
      <w:r>
        <w:rPr>
          <w:rFonts w:hint="eastAsia" w:ascii="楷体_GB2312" w:hAnsi="Times New Roman" w:eastAsia="楷体_GB2312" w:cs="Times New Roman"/>
          <w:b/>
          <w:sz w:val="34"/>
        </w:rPr>
        <w:t>省委教育工委、省教育厅</w:t>
      </w:r>
    </w:p>
    <w:p>
      <w:pPr>
        <w:widowControl/>
        <w:spacing w:line="540" w:lineRule="exact"/>
        <w:jc w:val="center"/>
        <w:rPr>
          <w:rFonts w:ascii="楷体_GB2312" w:hAnsi="Times New Roman" w:eastAsia="楷体_GB2312" w:cs="Times New Roman"/>
          <w:b/>
          <w:sz w:val="34"/>
        </w:rPr>
        <w:sectPr>
          <w:footerReference r:id="rId4" w:type="default"/>
          <w:footerReference r:id="rId5" w:type="even"/>
          <w:pgSz w:w="11906" w:h="16838"/>
          <w:pgMar w:top="2098" w:right="1531" w:bottom="1985" w:left="1531" w:header="851" w:footer="1588" w:gutter="0"/>
          <w:pgNumType w:start="1"/>
          <w:cols w:space="425" w:num="1"/>
          <w:docGrid w:type="lines" w:linePitch="312" w:charSpace="0"/>
        </w:sectPr>
      </w:pPr>
      <w:r>
        <w:rPr>
          <w:rFonts w:hint="eastAsia" w:ascii="楷体_GB2312" w:hAnsi="Times New Roman" w:eastAsia="楷体_GB2312" w:cs="Times New Roman"/>
          <w:b/>
          <w:sz w:val="34"/>
        </w:rPr>
        <mc:AlternateContent>
          <mc:Choice Requires="wps">
            <w:drawing>
              <wp:anchor distT="0" distB="0" distL="114300" distR="114300" simplePos="0" relativeHeight="251659264" behindDoc="0" locked="0" layoutInCell="1" allowOverlap="1">
                <wp:simplePos x="0" y="0"/>
                <wp:positionH relativeFrom="column">
                  <wp:posOffset>2504440</wp:posOffset>
                </wp:positionH>
                <wp:positionV relativeFrom="paragraph">
                  <wp:posOffset>483235</wp:posOffset>
                </wp:positionV>
                <wp:extent cx="523875" cy="352425"/>
                <wp:effectExtent l="0" t="0" r="28575" b="2857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38.05pt;height:27.75pt;width:41.25pt;z-index:251659264;v-text-anchor:middle;mso-width-relative:page;mso-height-relative:page;" fillcolor="#FFFFFF [3212]" filled="t" stroked="t" coordsize="21600,21600" o:gfxdata="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K1Aq/2gAAAAoBAAAPAAAAAAAAAAEAIAAAACIAAABkcnMvZG93bnJldi54bWxQSwECFAAUAAAA&#10;CACHTuJARNNROl4CAADcBAAADgAAAAAAAAABACAAAAApAQAAZHJzL2Uyb0RvYy54bWxQSwUGAAAA&#10;AAYABgBZAQAA+QUAAAAA&#10;">
                <v:fill on="t" focussize="0,0"/>
                <v:stroke weight="2pt" color="#FFFFFF [3212]" joinstyle="round"/>
                <v:imagedata o:title=""/>
                <o:lock v:ext="edit" aspectratio="f"/>
              </v:rect>
            </w:pict>
          </mc:Fallback>
        </mc:AlternateContent>
      </w:r>
      <w:r>
        <w:rPr>
          <w:rFonts w:hint="eastAsia" w:ascii="楷体_GB2312" w:hAnsi="Times New Roman" w:eastAsia="楷体_GB2312" w:cs="Times New Roman"/>
          <w:b/>
          <w:sz w:val="34"/>
        </w:rPr>
        <w:t>二</w:t>
      </w:r>
      <w:r>
        <w:rPr>
          <w:rFonts w:hint="eastAsia" w:ascii="宋体" w:hAnsi="宋体" w:eastAsia="宋体" w:cs="宋体"/>
          <w:b/>
          <w:sz w:val="34"/>
        </w:rPr>
        <w:t>〇</w:t>
      </w:r>
      <w:r>
        <w:rPr>
          <w:rFonts w:hint="eastAsia" w:ascii="楷体_GB2312" w:hAnsi="Times New Roman" w:eastAsia="楷体_GB2312" w:cs="Times New Roman"/>
          <w:b/>
          <w:sz w:val="34"/>
        </w:rPr>
        <w:t>二一年</w:t>
      </w:r>
      <w:bookmarkStart w:id="7" w:name="_GoBack"/>
      <w:bookmarkEnd w:id="7"/>
      <w:r>
        <w:rPr>
          <w:rFonts w:hint="eastAsia" w:ascii="楷体_GB2312" w:hAnsi="Times New Roman" w:eastAsia="楷体_GB2312" w:cs="Times New Roman"/>
          <w:b/>
          <w:sz w:val="34"/>
        </w:rPr>
        <w:t>五月</w:t>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目</w:t>
      </w:r>
      <w:r>
        <w:rPr>
          <w:rFonts w:hint="eastAsia" w:ascii="Times New Roman" w:hAnsi="Times New Roman" w:eastAsia="方正小标宋简体" w:cs="Times New Roman"/>
          <w:sz w:val="44"/>
        </w:rPr>
        <w:t xml:space="preserve">   </w:t>
      </w:r>
      <w:r>
        <w:rPr>
          <w:rFonts w:ascii="Times New Roman" w:hAnsi="Times New Roman" w:eastAsia="方正小标宋简体" w:cs="Times New Roman"/>
          <w:sz w:val="44"/>
        </w:rPr>
        <w:t xml:space="preserve">  录</w:t>
      </w:r>
    </w:p>
    <w:p>
      <w:pPr>
        <w:spacing w:line="600" w:lineRule="exact"/>
        <w:rPr>
          <w:rFonts w:ascii="Times New Roman" w:hAnsi="Times New Roman" w:eastAsia="黑体" w:cs="Times New Roman"/>
          <w:sz w:val="32"/>
        </w:rPr>
      </w:pPr>
    </w:p>
    <w:p>
      <w:pPr>
        <w:spacing w:line="600" w:lineRule="exact"/>
        <w:rPr>
          <w:rFonts w:ascii="黑体" w:hAnsi="黑体" w:eastAsia="黑体" w:cs="Times New Roman"/>
          <w:sz w:val="32"/>
        </w:rPr>
      </w:pPr>
      <w:r>
        <w:rPr>
          <w:rFonts w:ascii="黑体" w:hAnsi="黑体" w:eastAsia="黑体" w:cs="Times New Roman"/>
          <w:sz w:val="32"/>
        </w:rPr>
        <w:t>一、</w:t>
      </w:r>
      <w:bookmarkEnd w:id="0"/>
      <w:r>
        <w:rPr>
          <w:rFonts w:hint="eastAsia" w:ascii="黑体" w:hAnsi="黑体" w:eastAsia="黑体" w:cs="Times New Roman"/>
          <w:sz w:val="32"/>
        </w:rPr>
        <w:t>高校思想政治工作精品项目</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1.湖南省高校思想政治工作精品项目申报书…………………（1）</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2.湖南省高校思想政治工作精品项目汇总表…………………（8）</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3.湖南省高校思想政治工作精品项目建设标准（试行）………（9）</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4.湖南省高校思想政治工作精品项目管理办法（试行）………（25）</w:t>
      </w:r>
    </w:p>
    <w:p>
      <w:pPr>
        <w:shd w:val="clear" w:color="auto" w:fill="FFFFFF"/>
        <w:spacing w:line="600" w:lineRule="exact"/>
        <w:ind w:right="168" w:rightChars="80"/>
        <w:rPr>
          <w:rFonts w:ascii="黑体" w:hAnsi="黑体" w:eastAsia="黑体" w:cs="Times New Roman"/>
          <w:sz w:val="32"/>
        </w:rPr>
      </w:pPr>
      <w:r>
        <w:rPr>
          <w:rFonts w:hint="eastAsia" w:ascii="黑体" w:hAnsi="黑体" w:eastAsia="黑体" w:cs="Times New Roman"/>
          <w:sz w:val="32"/>
        </w:rPr>
        <w:t>二、高校优秀思想政治工作者项目</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1.湖南省高校思想政治工作中青年骨干建设项目申报书……（30）</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2.湖南省高校思想政治工作优秀团队建设项目申报书………（38）</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3.湖南省高校思想政治工作名师工作室建设项目申报书……（47）</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4.湖南省高校优秀思想政治工作者项目汇总表………………（56）</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5.湖南省高校思想政治工作骨干队伍建设项目管理办法（试行）</w:t>
      </w:r>
    </w:p>
    <w:p>
      <w:pPr>
        <w:shd w:val="clear" w:color="auto" w:fill="FFFFFF"/>
        <w:spacing w:line="600" w:lineRule="exact"/>
        <w:ind w:right="27" w:rightChars="13" w:firstLine="320" w:firstLineChars="1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………………………………………………………………（57）</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 加强新时代高校学生心理健康教育工作的实施办法……（66）</w:t>
      </w:r>
    </w:p>
    <w:p>
      <w:pPr>
        <w:shd w:val="clear" w:color="auto" w:fill="FFFFFF"/>
        <w:spacing w:line="600" w:lineRule="exact"/>
        <w:rPr>
          <w:rFonts w:ascii="Times New Roman" w:hAnsi="Times New Roman" w:eastAsia="仿宋_GB2312" w:cs="Times New Roman"/>
          <w:color w:val="FF0000"/>
          <w:sz w:val="32"/>
          <w:szCs w:val="32"/>
        </w:rPr>
        <w:sectPr>
          <w:pgSz w:w="11906" w:h="16838"/>
          <w:pgMar w:top="2098" w:right="1416" w:bottom="1985" w:left="1531" w:header="851" w:footer="1588" w:gutter="0"/>
          <w:pgNumType w:start="1"/>
          <w:cols w:space="425" w:num="1"/>
          <w:docGrid w:type="lines" w:linePitch="312" w:charSpace="0"/>
        </w:sectPr>
      </w:pPr>
    </w:p>
    <w:p>
      <w:pPr>
        <w:jc w:val="center"/>
        <w:rPr>
          <w:rFonts w:ascii="Times New Roman" w:hAnsi="Times New Roman" w:eastAsia="方正小标宋简体" w:cs="Times New Roman"/>
          <w:kern w:val="32"/>
          <w:sz w:val="48"/>
          <w:szCs w:val="48"/>
        </w:rPr>
      </w:pPr>
      <w:bookmarkStart w:id="1" w:name="_Toc520987046"/>
    </w:p>
    <w:p>
      <w:pPr>
        <w:rPr>
          <w:rFonts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湖南省高校思想政治工作精品项目</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申报高校：</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15"/>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p>
    <w:p>
      <w:pPr>
        <w:spacing w:line="480" w:lineRule="auto"/>
        <w:jc w:val="center"/>
        <w:rPr>
          <w:rFonts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w:t>
      </w:r>
      <w:r>
        <w:rPr>
          <w:rFonts w:hint="eastAsia" w:ascii="Times New Roman" w:hAnsi="Times New Roman" w:eastAsia="楷体_GB2312" w:cs="Times New Roman"/>
          <w:kern w:val="0"/>
          <w:sz w:val="32"/>
          <w:szCs w:val="32"/>
        </w:rPr>
        <w:t>A3纸双面印制，中缝装订</w:t>
      </w:r>
      <w:r>
        <w:rPr>
          <w:rFonts w:ascii="Times New Roman" w:hAnsi="Times New Roman" w:eastAsia="楷体_GB2312" w:cs="Times New Roman"/>
          <w:kern w:val="0"/>
          <w:sz w:val="32"/>
          <w:szCs w:val="32"/>
        </w:rPr>
        <w:t>。</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15"/>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rPr>
                <w:rFonts w:ascii="Times New Roman" w:hAnsi="Times New Roman" w:cs="Times New Roman"/>
                <w:bCs/>
                <w:kern w:val="32"/>
                <w:sz w:val="24"/>
              </w:rPr>
            </w:pPr>
            <w:r>
              <w:rPr>
                <w:rFonts w:hint="eastAsia" w:ascii="Times New Roman" w:hAnsi="Times New Roman" w:cs="Times New Roman"/>
                <w:bCs/>
                <w:kern w:val="32"/>
                <w:sz w:val="24"/>
              </w:rPr>
              <w:t>负责人是否已申报“十大”育人案例</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hint="eastAsia" w:ascii="Times New Roman" w:hAnsi="Times New Roman" w:cs="Times New Roman"/>
                <w:bCs/>
                <w:kern w:val="32"/>
                <w:sz w:val="24"/>
              </w:rPr>
              <w:t>已申报“十大”育人案例名称</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
      <w:pPr>
        <w:adjustRightInd w:val="0"/>
        <w:snapToGrid w:val="0"/>
        <w:spacing w:line="520" w:lineRule="exact"/>
        <w:rPr>
          <w:rFonts w:ascii="Times New Roman" w:hAnsi="Times New Roman" w:eastAsia="方正小标宋简体" w:cs="Times New Roman"/>
          <w:spacing w:val="4"/>
          <w:sz w:val="38"/>
          <w:szCs w:val="38"/>
        </w:rPr>
        <w:sectPr>
          <w:footerReference r:id="rId6" w:type="default"/>
          <w:footerReference r:id="rId7" w:type="even"/>
          <w:pgSz w:w="11906" w:h="16838"/>
          <w:pgMar w:top="2098" w:right="1474" w:bottom="1985" w:left="1588" w:header="851" w:footer="1588" w:gutter="0"/>
          <w:pgNumType w:start="1"/>
          <w:cols w:space="425" w:num="1"/>
          <w:docGrid w:type="lines" w:linePitch="312" w:charSpace="0"/>
        </w:sectPr>
      </w:pPr>
    </w:p>
    <w:p>
      <w:pPr>
        <w:widowControl/>
        <w:jc w:val="center"/>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kern w:val="0"/>
          <w:sz w:val="44"/>
          <w:szCs w:val="44"/>
        </w:rPr>
        <w:t>湖南省高校思想政治工作精品项目汇总表</w:t>
      </w:r>
    </w:p>
    <w:p>
      <w:pPr>
        <w:widowControl/>
        <w:jc w:val="center"/>
        <w:rPr>
          <w:rFonts w:ascii="Times New Roman" w:hAnsi="Times New Roman" w:eastAsia="方正小标宋_GBK" w:cs="Times New Roman"/>
          <w:sz w:val="44"/>
          <w:szCs w:val="44"/>
        </w:rPr>
      </w:pPr>
    </w:p>
    <w:tbl>
      <w:tblPr>
        <w:tblStyle w:val="16"/>
        <w:tblW w:w="14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097"/>
        <w:gridCol w:w="3422"/>
        <w:gridCol w:w="992"/>
        <w:gridCol w:w="1701"/>
        <w:gridCol w:w="946"/>
        <w:gridCol w:w="109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2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2139"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学校</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申报类型</w:t>
            </w:r>
          </w:p>
        </w:tc>
        <w:tc>
          <w:tcPr>
            <w:tcW w:w="342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项目名称</w:t>
            </w:r>
          </w:p>
        </w:tc>
        <w:tc>
          <w:tcPr>
            <w:tcW w:w="99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负责人</w:t>
            </w:r>
          </w:p>
        </w:tc>
        <w:tc>
          <w:tcPr>
            <w:tcW w:w="1701" w:type="dxa"/>
            <w:vAlign w:val="center"/>
          </w:tcPr>
          <w:p>
            <w:pPr>
              <w:widowControl/>
              <w:jc w:val="center"/>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1"/>
                <w:szCs w:val="21"/>
              </w:rPr>
              <w:t>工作单位及职务</w:t>
            </w:r>
          </w:p>
        </w:tc>
        <w:tc>
          <w:tcPr>
            <w:tcW w:w="94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职称</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是否已申报“十大”育人案例</w:t>
            </w:r>
          </w:p>
        </w:tc>
        <w:tc>
          <w:tcPr>
            <w:tcW w:w="3014"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已申报“十大”育人案例名称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0"/>
                <w:szCs w:val="21"/>
              </w:rPr>
            </w:pPr>
          </w:p>
        </w:tc>
        <w:tc>
          <w:tcPr>
            <w:tcW w:w="2139"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422" w:type="dxa"/>
            <w:vAlign w:val="center"/>
          </w:tcPr>
          <w:p>
            <w:pPr>
              <w:widowControl/>
              <w:jc w:val="center"/>
              <w:rPr>
                <w:rFonts w:cs="Times New Roman" w:asciiTheme="minorEastAsia" w:hAnsiTheme="minorEastAsia" w:eastAsiaTheme="minorEastAsia"/>
                <w:kern w:val="0"/>
                <w:sz w:val="20"/>
                <w:szCs w:val="21"/>
              </w:rPr>
            </w:pPr>
          </w:p>
        </w:tc>
        <w:tc>
          <w:tcPr>
            <w:tcW w:w="992" w:type="dxa"/>
            <w:vAlign w:val="center"/>
          </w:tcPr>
          <w:p>
            <w:pPr>
              <w:widowControl/>
              <w:jc w:val="center"/>
              <w:rPr>
                <w:rFonts w:cs="Times New Roman" w:asciiTheme="minorEastAsia" w:hAnsiTheme="minorEastAsia" w:eastAsiaTheme="minorEastAsia"/>
                <w:kern w:val="0"/>
                <w:sz w:val="20"/>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014" w:type="dxa"/>
            <w:vAlign w:val="center"/>
          </w:tcPr>
          <w:p>
            <w:pPr>
              <w:widowControl/>
              <w:jc w:val="center"/>
              <w:rPr>
                <w:rFonts w:cs="Times New Roman" w:asciiTheme="minorEastAsia" w:hAnsiTheme="minorEastAsia" w:eastAsiaTheme="minorEastAsia"/>
                <w:kern w:val="0"/>
                <w:sz w:val="20"/>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2.申报类型填：课程育人或科研育人或实践育人或文化育人或网络育人或心理育人或管理育人或服务育人或资助育人或组织育人。</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湖南省高校思想政治工作精品项目建设标准（试行）</w:t>
      </w:r>
    </w:p>
    <w:p>
      <w:pPr>
        <w:snapToGrid w:val="0"/>
        <w:jc w:val="center"/>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t>一、总标准</w:t>
      </w:r>
    </w:p>
    <w:tbl>
      <w:tblPr>
        <w:tblStyle w:val="15"/>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10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blHeader/>
          <w:jc w:val="center"/>
        </w:trPr>
        <w:tc>
          <w:tcPr>
            <w:tcW w:w="1701" w:type="dxa"/>
            <w:tcBorders>
              <w:bottom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1.传承性</w:t>
            </w: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1.1前期基础</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1.有固定的工作载体或项目平台。</w:t>
            </w:r>
          </w:p>
          <w:p>
            <w:pPr>
              <w:snapToGrid w:val="0"/>
              <w:rPr>
                <w:rFonts w:ascii="Times New Roman" w:hAnsi="Times New Roman" w:cs="Times New Roman"/>
                <w:kern w:val="32"/>
                <w:sz w:val="24"/>
              </w:rPr>
            </w:pPr>
            <w:r>
              <w:rPr>
                <w:rFonts w:ascii="Times New Roman" w:hAnsi="Times New Roman" w:cs="Times New Roman"/>
                <w:kern w:val="32"/>
                <w:sz w:val="24"/>
              </w:rPr>
              <w:t>2.项目及其负责团队在师生中有较大的影响力。</w:t>
            </w:r>
          </w:p>
          <w:p>
            <w:pPr>
              <w:snapToGrid w:val="0"/>
              <w:rPr>
                <w:rFonts w:ascii="Times New Roman" w:hAnsi="Times New Roman" w:cs="Times New Roman"/>
                <w:kern w:val="32"/>
                <w:sz w:val="24"/>
              </w:rPr>
            </w:pPr>
            <w:r>
              <w:rPr>
                <w:rFonts w:ascii="Times New Roman" w:hAnsi="Times New Roman" w:cs="Times New Roman"/>
                <w:kern w:val="32"/>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1.2传统继承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1.有良好的育人传统。</w:t>
            </w:r>
          </w:p>
          <w:p>
            <w:pPr>
              <w:snapToGrid w:val="0"/>
              <w:rPr>
                <w:rFonts w:ascii="Times New Roman" w:hAnsi="Times New Roman" w:cs="Times New Roman"/>
                <w:kern w:val="32"/>
                <w:sz w:val="24"/>
              </w:rPr>
            </w:pPr>
            <w:r>
              <w:rPr>
                <w:rFonts w:ascii="Times New Roman" w:hAnsi="Times New Roman" w:cs="Times New Roman"/>
                <w:kern w:val="32"/>
                <w:sz w:val="24"/>
              </w:rPr>
              <w:t>2.有2年以上的实施经历。</w:t>
            </w:r>
          </w:p>
          <w:p>
            <w:pPr>
              <w:snapToGrid w:val="0"/>
              <w:rPr>
                <w:rFonts w:ascii="Times New Roman" w:hAnsi="Times New Roman" w:cs="Times New Roman"/>
                <w:kern w:val="32"/>
                <w:sz w:val="24"/>
              </w:rPr>
            </w:pPr>
            <w:r>
              <w:rPr>
                <w:rFonts w:ascii="Times New Roman" w:hAnsi="Times New Roman" w:cs="Times New Roman"/>
                <w:kern w:val="32"/>
                <w:sz w:val="24"/>
              </w:rPr>
              <w:t>3.有明显的工作成效。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2.特色性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2.1项目特色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1.体现师生成长发展需求。</w:t>
            </w:r>
          </w:p>
          <w:p>
            <w:pPr>
              <w:snapToGrid w:val="0"/>
              <w:rPr>
                <w:rFonts w:ascii="Times New Roman" w:hAnsi="Times New Roman" w:cs="Times New Roman"/>
                <w:kern w:val="32"/>
                <w:sz w:val="24"/>
              </w:rPr>
            </w:pPr>
            <w:r>
              <w:rPr>
                <w:rFonts w:ascii="Times New Roman" w:hAnsi="Times New Roman" w:cs="Times New Roman"/>
                <w:kern w:val="32"/>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tcBorders>
              <w:top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2.2育人特色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1.坚持以育人为中心，育人资源丰富、利用充分。</w:t>
            </w:r>
          </w:p>
          <w:p>
            <w:pPr>
              <w:snapToGrid w:val="0"/>
              <w:rPr>
                <w:rFonts w:ascii="Times New Roman" w:hAnsi="Times New Roman" w:cs="Times New Roman"/>
                <w:kern w:val="32"/>
                <w:sz w:val="24"/>
              </w:rPr>
            </w:pPr>
            <w:r>
              <w:rPr>
                <w:rFonts w:ascii="Times New Roman" w:hAnsi="Times New Roman" w:cs="Times New Roman"/>
                <w:kern w:val="32"/>
                <w:sz w:val="24"/>
              </w:rPr>
              <w:t>2.突出协同育人特色，机制优化、体系完善。</w:t>
            </w:r>
          </w:p>
          <w:p>
            <w:pPr>
              <w:snapToGrid w:val="0"/>
              <w:rPr>
                <w:rFonts w:ascii="Times New Roman" w:hAnsi="Times New Roman" w:cs="Times New Roman"/>
                <w:kern w:val="32"/>
                <w:sz w:val="24"/>
              </w:rPr>
            </w:pPr>
            <w:r>
              <w:rPr>
                <w:rFonts w:ascii="Times New Roman" w:hAnsi="Times New Roman" w:cs="Times New Roman"/>
                <w:kern w:val="32"/>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3.持续性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3.1组织保障</w:t>
            </w:r>
          </w:p>
        </w:tc>
        <w:tc>
          <w:tcPr>
            <w:tcW w:w="10201" w:type="dxa"/>
            <w:tcBorders>
              <w:right w:val="single" w:color="auto" w:sz="4" w:space="0"/>
            </w:tcBorders>
            <w:shd w:val="clear" w:color="auto" w:fill="auto"/>
          </w:tcPr>
          <w:p>
            <w:pPr>
              <w:snapToGrid w:val="0"/>
              <w:rPr>
                <w:rFonts w:ascii="Times New Roman" w:hAnsi="Times New Roman" w:cs="Times New Roman"/>
                <w:kern w:val="32"/>
                <w:sz w:val="24"/>
              </w:rPr>
            </w:pPr>
            <w:r>
              <w:rPr>
                <w:rFonts w:ascii="Times New Roman" w:hAnsi="Times New Roman" w:cs="Times New Roman"/>
                <w:kern w:val="32"/>
                <w:sz w:val="24"/>
              </w:rPr>
              <w:t>1.领导高度重视，定位准确。</w:t>
            </w:r>
          </w:p>
          <w:p>
            <w:pPr>
              <w:snapToGrid w:val="0"/>
              <w:rPr>
                <w:rFonts w:ascii="Times New Roman" w:hAnsi="Times New Roman" w:cs="Times New Roman"/>
                <w:kern w:val="32"/>
                <w:sz w:val="24"/>
              </w:rPr>
            </w:pPr>
            <w:r>
              <w:rPr>
                <w:rFonts w:ascii="Times New Roman" w:hAnsi="Times New Roman" w:cs="Times New Roman"/>
                <w:kern w:val="32"/>
                <w:sz w:val="24"/>
              </w:rPr>
              <w:t>2.项目设计科学合理，统筹推进扎实有序。</w:t>
            </w:r>
          </w:p>
          <w:p>
            <w:pPr>
              <w:snapToGrid w:val="0"/>
              <w:rPr>
                <w:rFonts w:ascii="Times New Roman" w:hAnsi="Times New Roman" w:cs="Times New Roman"/>
                <w:kern w:val="32"/>
                <w:sz w:val="24"/>
              </w:rPr>
            </w:pPr>
            <w:r>
              <w:rPr>
                <w:rFonts w:ascii="Times New Roman" w:hAnsi="Times New Roman" w:cs="Times New Roman"/>
                <w:kern w:val="32"/>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3.2问题导向</w:t>
            </w:r>
          </w:p>
        </w:tc>
        <w:tc>
          <w:tcPr>
            <w:tcW w:w="10201" w:type="dxa"/>
            <w:tcBorders>
              <w:right w:val="single" w:color="auto" w:sz="4" w:space="0"/>
            </w:tcBorders>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1.聚焦工作中的短板弱项、薄弱环节，破解工作中存在的不平衡不充分问题。</w:t>
            </w:r>
          </w:p>
          <w:p>
            <w:pPr>
              <w:snapToGrid w:val="0"/>
              <w:rPr>
                <w:rFonts w:ascii="Times New Roman" w:hAnsi="Times New Roman" w:cs="Times New Roman"/>
                <w:kern w:val="32"/>
                <w:sz w:val="24"/>
              </w:rPr>
            </w:pPr>
            <w:r>
              <w:rPr>
                <w:rFonts w:ascii="Times New Roman" w:hAnsi="Times New Roman" w:cs="Times New Roman"/>
                <w:kern w:val="32"/>
                <w:sz w:val="24"/>
              </w:rPr>
              <w:t>2.聚焦重点任务、重点群体、重点领域，加强分类指导、着力因材施教。</w:t>
            </w:r>
          </w:p>
          <w:p>
            <w:pPr>
              <w:snapToGrid w:val="0"/>
              <w:rPr>
                <w:rFonts w:ascii="Times New Roman" w:hAnsi="Times New Roman" w:cs="Times New Roman"/>
                <w:kern w:val="32"/>
                <w:sz w:val="24"/>
              </w:rPr>
            </w:pPr>
            <w:r>
              <w:rPr>
                <w:rFonts w:ascii="Times New Roman" w:hAnsi="Times New Roman" w:cs="Times New Roman"/>
                <w:kern w:val="32"/>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3.3过程管理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1.过程设计科学，充分挖掘和利用不同岗位、不同群体的育人元素。</w:t>
            </w:r>
          </w:p>
          <w:p>
            <w:pPr>
              <w:snapToGrid w:val="0"/>
              <w:rPr>
                <w:rFonts w:ascii="Times New Roman" w:hAnsi="Times New Roman" w:cs="Times New Roman"/>
                <w:kern w:val="32"/>
                <w:sz w:val="24"/>
              </w:rPr>
            </w:pPr>
            <w:r>
              <w:rPr>
                <w:rFonts w:ascii="Times New Roman" w:hAnsi="Times New Roman" w:cs="Times New Roman"/>
                <w:kern w:val="32"/>
                <w:sz w:val="24"/>
              </w:rPr>
              <w:t>2.过程管理规范，充分激活不同主体的育人活力。</w:t>
            </w:r>
          </w:p>
          <w:p>
            <w:pPr>
              <w:snapToGrid w:val="0"/>
              <w:rPr>
                <w:rFonts w:ascii="Times New Roman" w:hAnsi="Times New Roman" w:cs="Times New Roman"/>
                <w:kern w:val="32"/>
                <w:sz w:val="24"/>
              </w:rPr>
            </w:pPr>
            <w:r>
              <w:rPr>
                <w:rFonts w:ascii="Times New Roman" w:hAnsi="Times New Roman" w:cs="Times New Roman"/>
                <w:kern w:val="32"/>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4.实效性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4.1师生反响</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1.师生知晓率、参与率高。</w:t>
            </w:r>
          </w:p>
          <w:p>
            <w:pPr>
              <w:snapToGrid w:val="0"/>
              <w:rPr>
                <w:rFonts w:ascii="Times New Roman" w:hAnsi="Times New Roman" w:cs="Times New Roman"/>
                <w:kern w:val="32"/>
                <w:sz w:val="24"/>
              </w:rPr>
            </w:pPr>
            <w:r>
              <w:rPr>
                <w:rFonts w:ascii="Times New Roman" w:hAnsi="Times New Roman" w:cs="Times New Roman"/>
                <w:kern w:val="32"/>
                <w:sz w:val="24"/>
              </w:rPr>
              <w:t>2.师生满意度高。</w:t>
            </w:r>
          </w:p>
          <w:p>
            <w:pPr>
              <w:snapToGrid w:val="0"/>
              <w:rPr>
                <w:rFonts w:ascii="Times New Roman" w:hAnsi="Times New Roman" w:cs="Times New Roman"/>
                <w:kern w:val="32"/>
                <w:sz w:val="24"/>
              </w:rPr>
            </w:pPr>
            <w:r>
              <w:rPr>
                <w:rFonts w:ascii="Times New Roman" w:hAnsi="Times New Roman" w:cs="Times New Roman"/>
                <w:kern w:val="32"/>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4.2问题解决</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1.解决师生思想问题及时。</w:t>
            </w:r>
          </w:p>
          <w:p>
            <w:pPr>
              <w:snapToGrid w:val="0"/>
              <w:rPr>
                <w:rFonts w:ascii="Times New Roman" w:hAnsi="Times New Roman" w:cs="Times New Roman"/>
                <w:kern w:val="32"/>
                <w:sz w:val="24"/>
              </w:rPr>
            </w:pPr>
            <w:r>
              <w:rPr>
                <w:rFonts w:ascii="Times New Roman" w:hAnsi="Times New Roman" w:cs="Times New Roman"/>
                <w:kern w:val="32"/>
                <w:sz w:val="24"/>
              </w:rPr>
              <w:t>2.解决师生具体问题务实。</w:t>
            </w:r>
          </w:p>
          <w:p>
            <w:pPr>
              <w:snapToGrid w:val="0"/>
              <w:rPr>
                <w:rFonts w:ascii="Times New Roman" w:hAnsi="Times New Roman" w:cs="Times New Roman"/>
                <w:kern w:val="32"/>
                <w:sz w:val="24"/>
              </w:rPr>
            </w:pPr>
            <w:r>
              <w:rPr>
                <w:rFonts w:ascii="Times New Roman" w:hAnsi="Times New Roman" w:cs="Times New Roman"/>
                <w:kern w:val="32"/>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4.3社会评价</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1.学生家长反响好。</w:t>
            </w:r>
          </w:p>
          <w:p>
            <w:pPr>
              <w:snapToGrid w:val="0"/>
              <w:rPr>
                <w:rFonts w:ascii="Times New Roman" w:hAnsi="Times New Roman" w:cs="Times New Roman"/>
                <w:kern w:val="32"/>
                <w:sz w:val="24"/>
              </w:rPr>
            </w:pPr>
            <w:r>
              <w:rPr>
                <w:rFonts w:ascii="Times New Roman" w:hAnsi="Times New Roman" w:cs="Times New Roman"/>
                <w:kern w:val="32"/>
                <w:sz w:val="24"/>
              </w:rPr>
              <w:t>2.媒体评价高。</w:t>
            </w:r>
          </w:p>
          <w:p>
            <w:pPr>
              <w:snapToGrid w:val="0"/>
              <w:rPr>
                <w:rFonts w:ascii="Times New Roman" w:hAnsi="Times New Roman" w:cs="Times New Roman"/>
                <w:kern w:val="32"/>
                <w:sz w:val="24"/>
              </w:rPr>
            </w:pPr>
            <w:r>
              <w:rPr>
                <w:rFonts w:ascii="Times New Roman" w:hAnsi="Times New Roman" w:cs="Times New Roman"/>
                <w:kern w:val="32"/>
                <w:sz w:val="24"/>
              </w:rPr>
              <w:t>3.同行评价高。</w:t>
            </w:r>
          </w:p>
          <w:p>
            <w:pPr>
              <w:snapToGrid w:val="0"/>
              <w:rPr>
                <w:rFonts w:ascii="Times New Roman" w:hAnsi="Times New Roman" w:cs="Times New Roman"/>
                <w:kern w:val="32"/>
                <w:sz w:val="24"/>
              </w:rPr>
            </w:pPr>
            <w:r>
              <w:rPr>
                <w:rFonts w:ascii="Times New Roman" w:hAnsi="Times New Roman" w:cs="Times New Roman"/>
                <w:kern w:val="32"/>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5.示范性</w:t>
            </w:r>
          </w:p>
        </w:tc>
        <w:tc>
          <w:tcPr>
            <w:tcW w:w="2977" w:type="dxa"/>
            <w:shd w:val="clear" w:color="auto" w:fill="auto"/>
            <w:vAlign w:val="center"/>
          </w:tcPr>
          <w:p>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5.1典型价值</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1.典型案例突出。</w:t>
            </w:r>
          </w:p>
          <w:p>
            <w:pPr>
              <w:snapToGrid w:val="0"/>
              <w:rPr>
                <w:rFonts w:ascii="Times New Roman" w:hAnsi="Times New Roman" w:cs="Times New Roman"/>
                <w:kern w:val="32"/>
                <w:sz w:val="24"/>
                <w:highlight w:val="yellow"/>
              </w:rPr>
            </w:pPr>
            <w:r>
              <w:rPr>
                <w:rFonts w:ascii="Times New Roman" w:hAnsi="Times New Roman" w:cs="Times New Roman"/>
                <w:kern w:val="32"/>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5.2示范引领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1.育人模式具有创新性。</w:t>
            </w:r>
          </w:p>
          <w:p>
            <w:pPr>
              <w:snapToGrid w:val="0"/>
              <w:rPr>
                <w:rFonts w:ascii="Times New Roman" w:hAnsi="Times New Roman" w:cs="Times New Roman"/>
                <w:kern w:val="32"/>
                <w:sz w:val="24"/>
              </w:rPr>
            </w:pPr>
            <w:r>
              <w:rPr>
                <w:rFonts w:ascii="Times New Roman" w:hAnsi="Times New Roman" w:cs="Times New Roman"/>
                <w:kern w:val="32"/>
                <w:sz w:val="24"/>
              </w:rPr>
              <w:t>2.方法载体具有示范性。</w:t>
            </w:r>
          </w:p>
          <w:p>
            <w:pPr>
              <w:snapToGrid w:val="0"/>
              <w:rPr>
                <w:rFonts w:ascii="Times New Roman" w:hAnsi="Times New Roman" w:cs="Times New Roman"/>
                <w:kern w:val="32"/>
                <w:sz w:val="24"/>
              </w:rPr>
            </w:pPr>
            <w:r>
              <w:rPr>
                <w:rFonts w:ascii="Times New Roman" w:hAnsi="Times New Roman" w:cs="Times New Roman"/>
                <w:kern w:val="32"/>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5.3应用推广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1.可视化成果传播广。</w:t>
            </w:r>
          </w:p>
          <w:p>
            <w:pPr>
              <w:snapToGrid w:val="0"/>
              <w:rPr>
                <w:rFonts w:ascii="Times New Roman" w:hAnsi="Times New Roman" w:cs="Times New Roman"/>
                <w:kern w:val="32"/>
                <w:sz w:val="24"/>
              </w:rPr>
            </w:pPr>
            <w:r>
              <w:rPr>
                <w:rFonts w:ascii="Times New Roman" w:hAnsi="Times New Roman" w:cs="Times New Roman"/>
                <w:kern w:val="32"/>
                <w:sz w:val="24"/>
              </w:rPr>
              <w:t>2.典型做法可复制。</w:t>
            </w:r>
          </w:p>
          <w:p>
            <w:pPr>
              <w:snapToGrid w:val="0"/>
              <w:rPr>
                <w:rFonts w:ascii="Times New Roman" w:hAnsi="Times New Roman" w:cs="Times New Roman"/>
                <w:kern w:val="32"/>
                <w:sz w:val="24"/>
              </w:rPr>
            </w:pPr>
            <w:r>
              <w:rPr>
                <w:rFonts w:ascii="Times New Roman" w:hAnsi="Times New Roman" w:cs="Times New Roman"/>
                <w:kern w:val="32"/>
                <w:sz w:val="24"/>
              </w:rPr>
              <w:t>3.育人模式可推广。</w:t>
            </w:r>
          </w:p>
        </w:tc>
      </w:tr>
    </w:tbl>
    <w:p>
      <w:pPr>
        <w:spacing w:before="300" w:after="225" w:line="360" w:lineRule="exact"/>
        <w:rPr>
          <w:rFonts w:ascii="Times New Roman" w:hAnsi="Times New Roman" w:eastAsia="黑体" w:cs="Times New Roman"/>
          <w:kern w:val="32"/>
          <w:sz w:val="30"/>
          <w:szCs w:val="30"/>
          <w:lang w:val="zh-TW"/>
        </w:rPr>
      </w:pPr>
    </w:p>
    <w:p>
      <w:pPr>
        <w:snapToGrid w:val="0"/>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二、分标准</w:t>
      </w:r>
    </w:p>
    <w:p>
      <w:pPr>
        <w:spacing w:before="300" w:after="225" w:line="360" w:lineRule="exact"/>
        <w:jc w:val="center"/>
        <w:rPr>
          <w:rFonts w:ascii="Times New Roman" w:hAnsi="Times New Roman" w:eastAsia="黑体" w:cs="Times New Roman"/>
          <w:kern w:val="32"/>
          <w:sz w:val="30"/>
          <w:szCs w:val="30"/>
          <w:lang w:val="zh-TW" w:eastAsia="zh-TW"/>
        </w:rPr>
      </w:pPr>
      <w:r>
        <w:rPr>
          <w:rFonts w:ascii="Times New Roman" w:hAnsi="Times New Roman" w:eastAsia="黑体" w:cs="Times New Roman"/>
          <w:kern w:val="32"/>
          <w:sz w:val="30"/>
          <w:szCs w:val="30"/>
          <w:lang w:val="zh-TW"/>
        </w:rPr>
        <w:t>（一）</w:t>
      </w:r>
      <w:r>
        <w:rPr>
          <w:rFonts w:ascii="Times New Roman" w:hAnsi="Times New Roman" w:eastAsia="黑体" w:cs="Times New Roman"/>
          <w:sz w:val="30"/>
          <w:szCs w:val="30"/>
          <w:lang w:val="zh-TW" w:eastAsia="zh-TW"/>
        </w:rPr>
        <w:t>课程育人精品项目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84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1.1导向明确</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1.2目标制定</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2．思想政治元素鲜明</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2.1教材讲义</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思想政治教育内容作为教材讲义必要章节，教育引导学生坚持“四个正确认识”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2.2课堂教学</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2.3知识点考核</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842"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3.教师主体作用发挥</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3.1素质能力</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sz w:val="24"/>
                <w:lang w:val="zh-TW"/>
              </w:rPr>
            </w:pPr>
            <w:r>
              <w:rPr>
                <w:rFonts w:ascii="Times New Roman" w:hAnsi="Times New Roman" w:cs="Times New Roman"/>
                <w:kern w:val="32"/>
                <w:sz w:val="24"/>
              </w:rPr>
              <w:t>3.2主体责任</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pPr>
        <w:snapToGrid w:val="0"/>
        <w:jc w:val="center"/>
        <w:rPr>
          <w:rFonts w:ascii="Times New Roman" w:hAnsi="Times New Roman" w:eastAsia="黑体" w:cs="Times New Roman"/>
          <w:kern w:val="32"/>
          <w:sz w:val="32"/>
          <w:szCs w:val="32"/>
          <w:lang w:val="zh-TW"/>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（二）科研育人精品项目建设标准</w:t>
      </w:r>
    </w:p>
    <w:tbl>
      <w:tblPr>
        <w:tblStyle w:val="15"/>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10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1809"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1.导向鲜明</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1.1思想价值引领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1.将思想价值引领贯穿于选题设计、科研立项、项目研究、成果运用全过程。</w:t>
            </w:r>
          </w:p>
          <w:p>
            <w:pPr>
              <w:snapToGrid w:val="0"/>
              <w:rPr>
                <w:rFonts w:ascii="Times New Roman" w:hAnsi="Times New Roman" w:cs="Times New Roman"/>
                <w:kern w:val="32"/>
                <w:sz w:val="24"/>
              </w:rPr>
            </w:pPr>
            <w:r>
              <w:rPr>
                <w:rFonts w:ascii="Times New Roman" w:hAnsi="Times New Roman" w:cs="Times New Roman"/>
                <w:kern w:val="32"/>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1.2思想政治表现</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1.在团队组建和人员选拔中重点考察参与人员的思想政治表现。</w:t>
            </w:r>
          </w:p>
          <w:p>
            <w:pPr>
              <w:snapToGrid w:val="0"/>
              <w:rPr>
                <w:rFonts w:ascii="Times New Roman" w:hAnsi="Times New Roman" w:cs="Times New Roman"/>
                <w:kern w:val="32"/>
                <w:sz w:val="24"/>
              </w:rPr>
            </w:pPr>
            <w:r>
              <w:rPr>
                <w:rFonts w:ascii="Times New Roman" w:hAnsi="Times New Roman" w:cs="Times New Roman"/>
                <w:kern w:val="32"/>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1.3学术道德教育</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1.构建集教育、预防、监督、惩治于一体的学术诚信制度体系。</w:t>
            </w:r>
          </w:p>
          <w:p>
            <w:pPr>
              <w:snapToGrid w:val="0"/>
              <w:rPr>
                <w:rFonts w:ascii="Times New Roman" w:hAnsi="Times New Roman" w:cs="Times New Roman"/>
                <w:kern w:val="32"/>
                <w:sz w:val="24"/>
              </w:rPr>
            </w:pPr>
            <w:r>
              <w:rPr>
                <w:rFonts w:ascii="Times New Roman" w:hAnsi="Times New Roman" w:cs="Times New Roman"/>
                <w:kern w:val="32"/>
                <w:sz w:val="24"/>
              </w:rPr>
              <w:t>2.对师生加强学术规范和学术道德教育，组织编写学术道德教育读本，在本科生中开设相关专题讲座，在研究生中开展相应公选课程。</w:t>
            </w:r>
          </w:p>
          <w:p>
            <w:pPr>
              <w:snapToGrid w:val="0"/>
              <w:rPr>
                <w:rFonts w:ascii="Times New Roman" w:hAnsi="Times New Roman" w:cs="Times New Roman"/>
                <w:kern w:val="32"/>
                <w:sz w:val="24"/>
              </w:rPr>
            </w:pPr>
            <w:r>
              <w:rPr>
                <w:rFonts w:ascii="Times New Roman" w:hAnsi="Times New Roman" w:cs="Times New Roman"/>
                <w:kern w:val="32"/>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2.管理与评价体系健全</w:t>
            </w:r>
          </w:p>
        </w:tc>
        <w:tc>
          <w:tcPr>
            <w:tcW w:w="2127"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2.1科研育人管理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1.建立科研导师制，落实导师是思想政治教育第一责任人的职责。</w:t>
            </w:r>
          </w:p>
          <w:p>
            <w:pPr>
              <w:snapToGrid w:val="0"/>
              <w:rPr>
                <w:rFonts w:ascii="Times New Roman" w:hAnsi="Times New Roman" w:cs="Times New Roman"/>
                <w:kern w:val="32"/>
                <w:sz w:val="24"/>
              </w:rPr>
            </w:pPr>
            <w:r>
              <w:rPr>
                <w:rFonts w:ascii="Times New Roman" w:hAnsi="Times New Roman" w:cs="Times New Roman"/>
                <w:kern w:val="32"/>
                <w:sz w:val="24"/>
              </w:rPr>
              <w:t>2.科研团队中老中青人员数量和结构合理，较好发挥“传帮带”作用。</w:t>
            </w:r>
          </w:p>
          <w:p>
            <w:pPr>
              <w:snapToGrid w:val="0"/>
              <w:rPr>
                <w:rFonts w:ascii="Times New Roman" w:hAnsi="Times New Roman" w:cs="Times New Roman"/>
                <w:kern w:val="32"/>
                <w:sz w:val="24"/>
              </w:rPr>
            </w:pPr>
            <w:r>
              <w:rPr>
                <w:rFonts w:ascii="Times New Roman" w:hAnsi="Times New Roman" w:cs="Times New Roman"/>
                <w:kern w:val="32"/>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2.2学术成果评价</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1.立足科技前沿，鼓励师生科技创新的原创性、自主性。</w:t>
            </w:r>
          </w:p>
          <w:p>
            <w:pPr>
              <w:snapToGrid w:val="0"/>
              <w:rPr>
                <w:rFonts w:ascii="Times New Roman" w:hAnsi="Times New Roman" w:cs="Times New Roman"/>
                <w:kern w:val="32"/>
                <w:sz w:val="24"/>
              </w:rPr>
            </w:pPr>
            <w:r>
              <w:rPr>
                <w:rFonts w:ascii="Times New Roman" w:hAnsi="Times New Roman" w:cs="Times New Roman"/>
                <w:kern w:val="32"/>
                <w:sz w:val="24"/>
              </w:rPr>
              <w:t>2.坚守中国立场，系统构建中国特色的学术评价体系和方法。</w:t>
            </w:r>
          </w:p>
          <w:p>
            <w:pPr>
              <w:snapToGrid w:val="0"/>
              <w:rPr>
                <w:rFonts w:ascii="Times New Roman" w:hAnsi="Times New Roman" w:cs="Times New Roman"/>
                <w:kern w:val="32"/>
                <w:sz w:val="24"/>
              </w:rPr>
            </w:pPr>
            <w:r>
              <w:rPr>
                <w:rFonts w:ascii="Times New Roman" w:hAnsi="Times New Roman" w:cs="Times New Roman"/>
                <w:kern w:val="32"/>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tcBorders>
              <w:righ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2.3学术成果应用</w:t>
            </w:r>
          </w:p>
        </w:tc>
        <w:tc>
          <w:tcPr>
            <w:tcW w:w="10943" w:type="dxa"/>
            <w:tcBorders>
              <w:lef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1.坚持服务于国家和区域的经济发展，建立和完善科技成果转化制度。</w:t>
            </w:r>
          </w:p>
          <w:p>
            <w:pPr>
              <w:snapToGrid w:val="0"/>
              <w:rPr>
                <w:rFonts w:ascii="Times New Roman" w:hAnsi="Times New Roman" w:cs="Times New Roman"/>
                <w:kern w:val="32"/>
                <w:sz w:val="24"/>
              </w:rPr>
            </w:pPr>
            <w:r>
              <w:rPr>
                <w:rFonts w:ascii="Times New Roman" w:hAnsi="Times New Roman" w:cs="Times New Roman"/>
                <w:kern w:val="32"/>
                <w:sz w:val="24"/>
              </w:rPr>
              <w:t>2.鼓励教师将最新学术成果运用于教学实践，支持和指导大学生参加科技创新与创业实践活动。</w:t>
            </w:r>
          </w:p>
          <w:p>
            <w:pPr>
              <w:snapToGrid w:val="0"/>
              <w:rPr>
                <w:rFonts w:ascii="Times New Roman" w:hAnsi="Times New Roman" w:cs="Times New Roman"/>
                <w:kern w:val="32"/>
                <w:sz w:val="24"/>
              </w:rPr>
            </w:pPr>
            <w:r>
              <w:rPr>
                <w:rFonts w:ascii="Times New Roman" w:hAnsi="Times New Roman" w:cs="Times New Roman"/>
                <w:kern w:val="32"/>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3.育人氛围深厚</w:t>
            </w:r>
          </w:p>
        </w:tc>
        <w:tc>
          <w:tcPr>
            <w:tcW w:w="2127"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3.1科研育人环境</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1.强调政治纪律与倡导学术自由相统一。</w:t>
            </w:r>
          </w:p>
          <w:p>
            <w:pPr>
              <w:snapToGrid w:val="0"/>
              <w:rPr>
                <w:rFonts w:ascii="Times New Roman" w:hAnsi="Times New Roman" w:cs="Times New Roman"/>
                <w:kern w:val="32"/>
                <w:sz w:val="24"/>
              </w:rPr>
            </w:pPr>
            <w:r>
              <w:rPr>
                <w:rFonts w:ascii="Times New Roman" w:hAnsi="Times New Roman" w:cs="Times New Roman"/>
                <w:kern w:val="32"/>
                <w:sz w:val="24"/>
              </w:rPr>
              <w:t>2.激励师生集体攻关和联合攻关。</w:t>
            </w:r>
          </w:p>
          <w:p>
            <w:pPr>
              <w:snapToGrid w:val="0"/>
              <w:rPr>
                <w:rFonts w:ascii="Times New Roman" w:hAnsi="Times New Roman" w:cs="Times New Roman"/>
                <w:kern w:val="32"/>
                <w:sz w:val="24"/>
              </w:rPr>
            </w:pPr>
            <w:r>
              <w:rPr>
                <w:rFonts w:ascii="Times New Roman" w:hAnsi="Times New Roman" w:cs="Times New Roman"/>
                <w:kern w:val="32"/>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tcBorders>
              <w:bottom w:val="single" w:color="000000" w:sz="4" w:space="0"/>
            </w:tcBorders>
          </w:tcPr>
          <w:p>
            <w:pPr>
              <w:snapToGrid w:val="0"/>
              <w:rPr>
                <w:rFonts w:ascii="Times New Roman" w:hAnsi="Times New Roman" w:cs="Times New Roman"/>
                <w:b/>
                <w:kern w:val="32"/>
                <w:sz w:val="24"/>
              </w:rPr>
            </w:pPr>
          </w:p>
        </w:tc>
        <w:tc>
          <w:tcPr>
            <w:tcW w:w="2127"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3.2思想文化建设</w:t>
            </w:r>
          </w:p>
        </w:tc>
        <w:tc>
          <w:tcPr>
            <w:tcW w:w="10943"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1.加强学术名家、优秀学术团队先进事迹的宣传教育。</w:t>
            </w:r>
          </w:p>
          <w:p>
            <w:pPr>
              <w:snapToGrid w:val="0"/>
              <w:rPr>
                <w:rFonts w:ascii="Times New Roman" w:hAnsi="Times New Roman" w:cs="Times New Roman"/>
                <w:kern w:val="32"/>
                <w:sz w:val="24"/>
              </w:rPr>
            </w:pPr>
            <w:r>
              <w:rPr>
                <w:rFonts w:ascii="Times New Roman" w:hAnsi="Times New Roman" w:cs="Times New Roman"/>
                <w:kern w:val="32"/>
                <w:sz w:val="24"/>
              </w:rPr>
              <w:t>2.以学术研究与应用促进学校精神文明建设、社会思想文化建设。</w:t>
            </w:r>
          </w:p>
        </w:tc>
      </w:tr>
    </w:tbl>
    <w:p>
      <w:pPr>
        <w:rPr>
          <w:rFonts w:ascii="Times New Roman" w:hAnsi="Times New Roman" w:cs="Times New Roman"/>
          <w:b/>
          <w:sz w:val="24"/>
          <w:szCs w:val="32"/>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（三）实践育人精品项目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209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2．组织实施</w:t>
            </w:r>
          </w:p>
          <w:p>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2.2项目运作</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3．育人机制</w:t>
            </w:r>
          </w:p>
          <w:p>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3.1实践基地</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3.2协同机制</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（四）文化育人精品项目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1．育人目标精准化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2.优化校风学风，繁荣校园文化，培育大学精神，建设优美环境，滋养师生心灵、涵育师生品行、引领社会风尚。</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2．组织实施体系化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2.2品牌化运作</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1.制定总体规划，有年度工作实施计划和重要项目。</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2.结合学校实际和师生特点，创新工作载体，打造“一校一品”校园文化名片。</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51"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3．育人形式多样化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3.1核心价值观教育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3. 经常性开展社会公德、职业道德、家庭美德、个人品德教育，开展民族英雄、道德模范、时代楷模、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1.开展经典诵读、传统节日振兴、礼敬中华优秀传统文化等活动。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1.开展“爱国·奋斗”“传承红色基因、担当复兴重任”等主题教育活动。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3.建立革命文化教育资源库，统筹发挥校内外红色资源育人功能</w:t>
            </w:r>
            <w:r>
              <w:rPr>
                <w:rFonts w:ascii="Times New Roman" w:hAnsi="Times New Roman" w:cs="Times New Roman"/>
                <w:kern w:val="32"/>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3.4社会主义先进文化教育</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1.积极组建“优秀辅导员讲师团”和“大学生骨干宣讲团”等讲师团，深入开展“双团双巡”等宣讲活动，大力推动习近平新时代中国特色社会主义思想的学习宣传阐释。</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2.大力推动领导干部上讲台开展思想政治教育，加强师生形势政策宣传教育，深入解读习近平新时代中国特色社会主义思想和党的十九大精神。</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3.推动开展“习近平教育思想学悟行”“学习进行时”“行动进行时”系列宣传，引导干部师生不断增进政治认同、思想认同、情感认同。</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1" w:type="dxa"/>
            <w:vMerge w:val="continue"/>
            <w:vAlign w:val="center"/>
          </w:tcPr>
          <w:p>
            <w:pPr>
              <w:snapToGrid w:val="0"/>
              <w:jc w:val="center"/>
              <w:rPr>
                <w:rFonts w:ascii="Times New Roman" w:hAnsi="Times New Roman" w:cs="Times New Roman"/>
                <w:kern w:val="32"/>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3.5校园文化建设</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1.开展文明校园创建，积极参与“全国文明校园”评选。</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2.挖掘校史校风校训校歌的教育作用，建设特色校园文化。</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3.建设美丽校园，实现校园山、水、园、林、路、馆建设达到使用、审美、教育功能的和谐统一。</w:t>
            </w:r>
          </w:p>
        </w:tc>
      </w:tr>
    </w:tbl>
    <w:p>
      <w:pPr>
        <w:spacing w:line="220" w:lineRule="atLeast"/>
        <w:jc w:val="center"/>
        <w:rPr>
          <w:rFonts w:ascii="Times New Roman" w:hAnsi="Times New Roman" w:eastAsia="黑体" w:cs="Times New Roman"/>
          <w:kern w:val="32"/>
          <w:sz w:val="30"/>
          <w:szCs w:val="30"/>
          <w:lang w:val="zh-TW"/>
        </w:rPr>
      </w:pPr>
      <w:r>
        <w:rPr>
          <w:rFonts w:ascii="Times New Roman" w:hAnsi="Times New Roman" w:eastAsia="Arial Unicode MS" w:cs="Times New Roman"/>
          <w:kern w:val="32"/>
          <w:sz w:val="32"/>
          <w:szCs w:val="32"/>
        </w:rPr>
        <w:br w:type="page"/>
      </w:r>
      <w:r>
        <w:rPr>
          <w:rFonts w:ascii="Times New Roman" w:hAnsi="Times New Roman" w:eastAsia="黑体" w:cs="Times New Roman"/>
          <w:kern w:val="32"/>
          <w:sz w:val="30"/>
          <w:szCs w:val="30"/>
          <w:lang w:val="zh-TW"/>
        </w:rPr>
        <w:t>（五）网络育人精品项目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1.坚持明确的育人导向，引导师生强化网络意识，树立网络思维，提升网络文明素养，养成文明网络生活方式。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1.2建设方向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1.突出新技术、新理念，推动思想政治工作传统优势同信息技术高度融合。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2.突出政治性、主旋律，积极开展学习宣传贯彻习近平新时代中国特色社会主义思想和党的十九大精神等网络思想政治教育活动。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3.突出教育性、感染力，推动社会主义核心价值观的网络传播与弘扬，讲好中国故事，讲好百姓故事，讲好身边故事，弘扬网络正能量。</w:t>
            </w:r>
          </w:p>
          <w:p>
            <w:pPr>
              <w:snapToGrid w:val="0"/>
              <w:rPr>
                <w:rFonts w:ascii="Times New Roman" w:hAnsi="Times New Roman" w:cs="Times New Roman"/>
                <w:kern w:val="32"/>
                <w:sz w:val="24"/>
                <w:lang w:val="zh-TW"/>
              </w:rPr>
            </w:pPr>
            <w:r>
              <w:rPr>
                <w:rFonts w:ascii="Times New Roman" w:hAnsi="Times New Roman" w:cs="Times New Roman"/>
                <w:kern w:val="32"/>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2.品牌化建设显著</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2.1网络平台</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2.2网络活动</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2.工作方案详尽科学，组织周密到位。</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3.实现线上线下联动，主动向线下延伸。</w:t>
            </w:r>
          </w:p>
          <w:p>
            <w:pPr>
              <w:snapToGrid w:val="0"/>
              <w:rPr>
                <w:rFonts w:ascii="Times New Roman" w:hAnsi="Times New Roman" w:cs="Times New Roman"/>
                <w:kern w:val="32"/>
                <w:sz w:val="24"/>
              </w:rPr>
            </w:pPr>
            <w:r>
              <w:rPr>
                <w:rFonts w:ascii="Times New Roman" w:hAnsi="Times New Roman" w:cs="Times New Roman"/>
                <w:kern w:val="32"/>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2.3网络作品</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1.富有网络特色，突出主流文化，体现价值引导，充满正能量。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2.优秀原创，体现精品创意，注重指标的凝练性、内容的故事性、蕴涵的深刻性、语言的感染性、阅读的便捷性，贴近师生需求和喜好，能激发情感共鸣。</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3.在网络上有较大影响力，有较高的转发、评论和引用量。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3.运行模式健全</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3.1运行机制</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2.制定建设方案、工作规划，明确建设方向、重点、特色和实施步骤</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3.健全管理、运行制度，有严格规范的内容采集、编辑和发布制度</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4.落实经费、场地、人员、硬件等必要的条件保障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3.2队伍建设</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3.经常性开展有针对性的培养培训</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（六）心理育人精品项目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1.坚持育心与育德相结合，加强人文关怀和心理疏导，把解决师生的思想问题、心理问题与解决实际问题结合起来，在关心呵护和暖心帮扶中开展教育引导。</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1.2制度建设</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1.心理咨询的值班、预约、转介、重点反馈等制度健全，通过个体咨询、团体辅导、电话咨询、网络咨询等多种形式，向师生提供经常、及时、有效的心理健康指导与咨询服务。</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2.严格遵循保密原则，建立心理健康数据安全保护机制，保护师生隐私。</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3.实施分类引导，注重因材施教，精准施策。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1.3平台保障</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1.按照不低于20元/生的标准设立专项工作经费，配备必要办公场地和设备。</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 组织实施体系化</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2.1教育教学</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1.健全心理健康教育课程体系，对新生开设心理健康教育必修课，面向全校学生开设心理健康教育选修课和辅修课，实现大学生心理健康教育全覆盖。其中，公共必修课原则上应为2学分。</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2.2实践活动</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1.组织开展心理健康教育月、“5•25”心理健康节等形式多样的主题教育活动，效果良好。</w:t>
            </w:r>
          </w:p>
          <w:p>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2.3咨询服务</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1.全校至少拥有2名具有从事心理健康教育相关学历和专业资质的心理健康教育专业教师。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2.4预防干预</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2.心理危机预防和快速反应机制健全，拥有学校、院系、班级、宿舍“四级”预警防控体系，心理危机干预工作预案完善，最大限度预防和减少严重心理危机个案的发生。</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3.育人形式创新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3.1手段创新</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3.2拓展传播渠道</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3.3发挥师生主体作用</w:t>
            </w:r>
          </w:p>
        </w:tc>
        <w:tc>
          <w:tcPr>
            <w:tcW w:w="10802" w:type="dxa"/>
            <w:tcBorders>
              <w:bottom w:val="single" w:color="auto" w:sz="4" w:space="0"/>
            </w:tcBorders>
            <w:vAlign w:val="center"/>
          </w:tcPr>
          <w:p>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（七）管理育人精品项目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1.坚持管理育人理念，把规范管理的严格要求和春风化雨、润物无声的教育方式结合起来，强化科学管理对道德涵育的保障功能。</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1.研究梳理管理岗位的育人元素，制定详细的岗位说明书，明确管理育人的职责、目标、内容和路径，作为开展工作、聘任考核的重要依据。</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1.建立管理育人示范岗的遴选、培育、考核机制。</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2.工作能力突出，是本单位的</w:t>
            </w:r>
            <w:r>
              <w:rPr>
                <w:rFonts w:ascii="Times New Roman" w:hAnsi="Times New Roman" w:cs="Times New Roman"/>
                <w:kern w:val="32"/>
                <w:sz w:val="24"/>
                <w:lang w:val="zh-TW"/>
              </w:rPr>
              <w:t>先进工作者或模范代表。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3.爱生敬业，为人师表，甘于奉献，在师生中口碑好，有管理育人、爱岗敬业的先进事迹和典型经验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3.1管理育人</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4.注重营造创设优良的育人环境，引导师生培育自觉、强化自律</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28"/>
          <w:szCs w:val="28"/>
        </w:rPr>
        <w:br w:type="page"/>
      </w:r>
      <w:r>
        <w:rPr>
          <w:rFonts w:ascii="Times New Roman" w:hAnsi="Times New Roman" w:eastAsia="黑体" w:cs="Times New Roman"/>
          <w:kern w:val="32"/>
          <w:sz w:val="30"/>
          <w:szCs w:val="30"/>
          <w:lang w:val="zh-TW"/>
        </w:rPr>
        <w:t>（八）服务育人精品项目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3.1服务育人</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3.积极抓住服务中的契机主动开展思想政治教育，有效引导师生的思想和行为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w:t>
            </w:r>
            <w:r>
              <w:rPr>
                <w:rFonts w:ascii="Times New Roman" w:hAnsi="Times New Roman" w:cs="Times New Roman"/>
                <w:kern w:val="32"/>
                <w:sz w:val="24"/>
                <w:lang w:val="zh-TW"/>
              </w:rPr>
              <w:t>，促进以文化人以文育人。</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（九）资助育人精品项目</w:t>
      </w:r>
    </w:p>
    <w:tbl>
      <w:tblPr>
        <w:tblStyle w:val="1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sz w:val="24"/>
              </w:rPr>
            </w:pPr>
            <w:r>
              <w:rPr>
                <w:rFonts w:ascii="Times New Roman" w:hAnsi="Times New Roman" w:cs="Times New Roman"/>
                <w:kern w:val="32"/>
                <w:sz w:val="24"/>
              </w:rPr>
              <w:t>1.把“扶困”与“扶智”，“扶困”与“扶志”结合起来，构建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pPr>
              <w:snapToGrid w:val="0"/>
              <w:rPr>
                <w:rFonts w:ascii="Times New Roman" w:hAnsi="Times New Roman" w:cs="Times New Roman"/>
                <w:sz w:val="24"/>
              </w:rPr>
            </w:pPr>
            <w:r>
              <w:rPr>
                <w:rFonts w:ascii="Times New Roman" w:hAnsi="Times New Roman" w:cs="Times New Roman"/>
                <w:sz w:val="24"/>
              </w:rPr>
              <w:t>2.打造“解困—育人—成才—回馈”的良性循环，着力培养受助学生自立自强、诚实守信、知恩感恩、勇于担当的良好品质。</w:t>
            </w:r>
          </w:p>
          <w:p>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1.2管理办法</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1.坚持立德树人，加强顶层设计，建立资助管理规范，完善勤工助学管理办法。</w:t>
            </w:r>
          </w:p>
          <w:p>
            <w:pPr>
              <w:snapToGrid w:val="0"/>
              <w:rPr>
                <w:rFonts w:ascii="Times New Roman" w:hAnsi="Times New Roman" w:cs="Times New Roman"/>
                <w:kern w:val="32"/>
                <w:sz w:val="24"/>
                <w:lang w:val="zh-TW"/>
              </w:rPr>
            </w:pPr>
            <w:r>
              <w:rPr>
                <w:rFonts w:ascii="Times New Roman" w:hAnsi="Times New Roman" w:cs="Times New Roman"/>
                <w:kern w:val="32"/>
                <w:sz w:val="24"/>
              </w:rPr>
              <w:t>2.将在资助过程中育人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2.1工作体系</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2.2长效机制</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sz w:val="24"/>
              </w:rPr>
              <w:t>1.构建物质帮助、道德浸润、能力拓展、精神激励有效融合的资助育人长效机制，实现无偿资助与有偿资助、显性资助与隐性资助的有机融合。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2.3考核评价</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1.将资助育人作为学校党建和思想政治教育工作的重要内容，纳入学校综合绩效考核</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3.1过程育人</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1.在奖学金评选发放环节，全面考察学生的学习成绩、创新发展、社会实践及道德品质等方面的综合表现，培养学生奋斗精神和感恩意识。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2.在国家助学金申请发放环节，深入开展励志教育和感恩教育，培养学生爱党爱国爱社会主义意识。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3.在国家助学贷款办理过程中，深入开展诚信教育和金融常识教育，培养学生法律意识、风险防范意识和契约精神。</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4.在勤工助学活动开展环节，着力培养学生自强不息、创新创业的进取精神。</w:t>
            </w:r>
          </w:p>
          <w:p>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3.2学生主体作用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1.支持学生自主创业，积极自助</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3.3品牌项目</w:t>
            </w:r>
          </w:p>
        </w:tc>
        <w:tc>
          <w:tcPr>
            <w:tcW w:w="10943" w:type="dxa"/>
            <w:vAlign w:val="center"/>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1.培育建设一批“发展型资助的育人项目”，推选展示资助育人优秀案例和先进人物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2.实施“家庭经济困难学生能力素养培育计划”</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3.4主题活动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1.开展“助学﹒筑梦﹒铸人”“诚信校园行”等主题教育活动，组织国家奖学金获奖学生担任“学生资助宣传大使”。</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2.运用新媒体，创新多种渠道，结合学生的需求，结合教育信息化的进程，结合新媒体的特点，打造易于学生接受的资助新模式新方法。</w:t>
            </w:r>
          </w:p>
        </w:tc>
      </w:tr>
    </w:tbl>
    <w:p>
      <w:pPr>
        <w:snapToGrid w:val="0"/>
        <w:spacing w:line="40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（十）组织育人精品项目</w:t>
      </w:r>
    </w:p>
    <w:tbl>
      <w:tblPr>
        <w:tblStyle w:val="15"/>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blHeader/>
          <w:jc w:val="center"/>
        </w:trPr>
        <w:tc>
          <w:tcPr>
            <w:tcW w:w="1951"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1.育人目标明确</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1.1主体责任</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3.具体落实本组织的意识形态责任制</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1.2建设目标</w:t>
            </w:r>
          </w:p>
        </w:tc>
        <w:tc>
          <w:tcPr>
            <w:tcW w:w="11085" w:type="dxa"/>
            <w:vAlign w:val="center"/>
          </w:tcPr>
          <w:p>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1.2育人功能</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1.充分发挥组织的思想育人功能，在引领师生、凝聚师生、服务师生中发挥积极作用</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2.充分发挥组织的活动育人功能，在丰富师生文化生活、营造良好文化氛围中发挥积极作用</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2.育人体系健全</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2.1组织机构</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1.组织成员稳定，权利与义务界定清晰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2.内部机构设置科学，信息沟通顺畅</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3.规章制度健全，管理规范有序</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2.2领导班子</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党支部书记为“双带头人”</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2.班子成员分工明确，团结协作</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3.民主决策，群众监督渠道畅通</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2.3工作体系</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1.工作程序标准化，年度计划制订详细，年度总结认真客观</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2.工作体系常态化，日常工作不折不扣，重点工作创新突破</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3.工作机制长效化，思想教育与行为约束相结合、解决思想问题与解决具体问题相结合</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3.育人路径清晰</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3.1思想教育</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3.2组织动员</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1.政治立场坚定，在重大事件中始终与党中央保持高度一致，在“大是大非”面前敢于发声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2.主动作为，在服务学校的中心工作和社会公益活动中增强组织的凝聚力</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3.创新形式，能够有效利用网络载体和社会化动员方式扩大组织的影响力</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sz w:val="24"/>
                <w:lang w:val="zh-TW" w:eastAsia="zh-TW"/>
              </w:rPr>
            </w:pPr>
            <w:r>
              <w:rPr>
                <w:rFonts w:ascii="Times New Roman" w:hAnsi="Times New Roman" w:cs="Times New Roman"/>
                <w:kern w:val="32"/>
                <w:sz w:val="24"/>
              </w:rPr>
              <w:t>3.3主题活动</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1.有计划地开展主题鲜明、健康有益、丰富多彩的文化活动，吸引力大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2.育人活动阵地建设强，实现“建、管、用”并举，资源丰富、利用充分，网络育人阵地建设强、线上线下结合紧密</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3.育人活动品牌建设强，凝聚和服务师生时间长、范围广，对社会的显示度高、价值大</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cs="Times New Roman"/>
          <w:kern w:val="32"/>
          <w:sz w:val="32"/>
          <w:szCs w:val="32"/>
        </w:rPr>
        <w:sectPr>
          <w:footerReference r:id="rId8" w:type="default"/>
          <w:pgSz w:w="16840" w:h="11900" w:orient="landscape"/>
          <w:pgMar w:top="1247" w:right="1247" w:bottom="1247" w:left="1247" w:header="851" w:footer="1134" w:gutter="0"/>
          <w:cols w:space="720" w:num="1"/>
          <w:docGrid w:linePitch="286" w:charSpace="0"/>
        </w:sectPr>
      </w:pP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w:t>
      </w: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精品项目管理办法（试行）</w:t>
      </w:r>
    </w:p>
    <w:p>
      <w:pPr>
        <w:spacing w:line="570" w:lineRule="exact"/>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第一章 总则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第一条  </w:t>
      </w:r>
      <w:r>
        <w:rPr>
          <w:rFonts w:ascii="Times New Roman" w:hAnsi="Times New Roman" w:eastAsia="仿宋_GB2312"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hAnsi="Times New Roman" w:eastAsia="仿宋_GB2312" w:cs="Times New Roman"/>
          <w:kern w:val="32"/>
          <w:sz w:val="32"/>
          <w:szCs w:val="32"/>
        </w:rPr>
        <w:t>加强</w:t>
      </w:r>
      <w:r>
        <w:rPr>
          <w:rFonts w:ascii="Times New Roman" w:hAnsi="Times New Roman" w:eastAsia="仿宋_GB2312" w:cs="Times New Roman"/>
          <w:kern w:val="0"/>
          <w:sz w:val="32"/>
          <w:szCs w:val="32"/>
        </w:rPr>
        <w:t>和规范高校思想政治工作精品项目</w:t>
      </w:r>
      <w:r>
        <w:rPr>
          <w:rFonts w:ascii="Times New Roman" w:hAnsi="Times New Roman" w:eastAsia="仿宋_GB2312" w:cs="Times New Roman"/>
          <w:kern w:val="32"/>
          <w:sz w:val="32"/>
          <w:szCs w:val="32"/>
        </w:rPr>
        <w:t>（简称精品项目）管理，提高项目</w:t>
      </w:r>
      <w:r>
        <w:rPr>
          <w:rFonts w:ascii="Times New Roman" w:hAnsi="Times New Roman" w:eastAsia="仿宋_GB2312" w:cs="Times New Roman"/>
          <w:kern w:val="0"/>
          <w:sz w:val="32"/>
          <w:szCs w:val="32"/>
        </w:rPr>
        <w:t>建设水平，</w:t>
      </w:r>
      <w:r>
        <w:rPr>
          <w:rFonts w:ascii="Times New Roman" w:hAnsi="Times New Roman" w:eastAsia="仿宋_GB2312" w:cs="Times New Roman"/>
          <w:sz w:val="32"/>
          <w:szCs w:val="32"/>
        </w:rPr>
        <w:t>根据《关于实施湖南省高校思想政治工作质量提升工程的意见》等文件，</w:t>
      </w:r>
      <w:r>
        <w:rPr>
          <w:rFonts w:ascii="Times New Roman" w:hAnsi="Times New Roman" w:eastAsia="仿宋_GB2312" w:cs="Times New Roman"/>
          <w:kern w:val="0"/>
          <w:sz w:val="32"/>
          <w:szCs w:val="32"/>
        </w:rPr>
        <w:t>制定本办法。</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第二条</w:t>
      </w:r>
      <w:r>
        <w:rPr>
          <w:rFonts w:ascii="Times New Roman" w:hAnsi="Times New Roman" w:eastAsia="仿宋_GB2312" w:cs="Times New Roman"/>
          <w:kern w:val="0"/>
          <w:sz w:val="32"/>
          <w:szCs w:val="32"/>
        </w:rPr>
        <w:t xml:space="preserve">  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第二章  项目类别与申报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第三条  </w:t>
      </w:r>
      <w:r>
        <w:rPr>
          <w:rFonts w:ascii="Times New Roman" w:hAnsi="Times New Roman" w:eastAsia="仿宋_GB2312" w:cs="Times New Roman"/>
          <w:kern w:val="0"/>
          <w:sz w:val="32"/>
          <w:szCs w:val="32"/>
        </w:rPr>
        <w:t>精品项目分为课程育人、科研育人、实践育人、文化育人、网络育人、心理育人、管理育人、服务育人、资助育人、组织育人等育人项目。通过精品项目的培育建设和推广，推动各高</w:t>
      </w:r>
      <w:r>
        <w:rPr>
          <w:rFonts w:ascii="Times New Roman" w:hAnsi="Times New Roman" w:eastAsia="仿宋_GB2312" w:cs="Times New Roman"/>
          <w:spacing w:val="-6"/>
          <w:kern w:val="0"/>
          <w:sz w:val="32"/>
          <w:szCs w:val="32"/>
        </w:rPr>
        <w:t>校深化“三全育人”综合改革，一体化构建高校思想政治工作体系</w:t>
      </w:r>
      <w:r>
        <w:rPr>
          <w:rFonts w:ascii="Times New Roman" w:hAnsi="Times New Roman" w:eastAsia="仿宋_GB2312" w:cs="Times New Roman"/>
          <w:kern w:val="32"/>
          <w:sz w:val="32"/>
          <w:szCs w:val="32"/>
        </w:rPr>
        <w:t>。</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第四条  </w:t>
      </w:r>
      <w:r>
        <w:rPr>
          <w:rFonts w:ascii="Times New Roman" w:hAnsi="Times New Roman" w:eastAsia="仿宋_GB2312" w:cs="Times New Roman"/>
          <w:kern w:val="0"/>
          <w:sz w:val="32"/>
          <w:szCs w:val="32"/>
        </w:rPr>
        <w:t>精品项目的申报工作由省委教育工委、省教育厅组织实施，每年组织一次，具体时间以通知为准。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第五条</w:t>
      </w:r>
      <w:r>
        <w:rPr>
          <w:rFonts w:ascii="Times New Roman" w:hAnsi="Times New Roman" w:eastAsia="仿宋_GB2312" w:cs="Times New Roman"/>
          <w:kern w:val="0"/>
          <w:sz w:val="32"/>
          <w:szCs w:val="32"/>
        </w:rPr>
        <w:t xml:space="preserve">  各高等学校采取自愿原则，结合工作实际进行项目申报。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1.项目负责人必须是高等学校在职在岗教职员工，具有良好的思想政治素质、较高的理论素养和较强的工作能力，能独立开展或组织开展相关实践创新和理论研究。</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2.申报高校需填写项目申报书，提交项目文字说明材料，包括明确项目团队、前期基础、建设规划、条件保障等内容。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3.已承担精品项目到期尚未结项的高校，不得申报同类型项目；已获得立项的精品项目，不得重复申报。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项目推选与立项</w:t>
      </w:r>
    </w:p>
    <w:p>
      <w:pPr>
        <w:adjustRightInd w:val="0"/>
        <w:snapToGrid w:val="0"/>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第六条  </w:t>
      </w:r>
      <w:r>
        <w:rPr>
          <w:rFonts w:ascii="Times New Roman" w:hAnsi="Times New Roman" w:eastAsia="仿宋_GB2312" w:cs="Times New Roman"/>
          <w:bCs/>
          <w:kern w:val="0"/>
          <w:sz w:val="32"/>
          <w:szCs w:val="32"/>
        </w:rPr>
        <w:t>省委教育工委、省教育厅</w:t>
      </w:r>
      <w:r>
        <w:rPr>
          <w:rFonts w:ascii="Times New Roman" w:hAnsi="Times New Roman" w:eastAsia="仿宋_GB2312" w:cs="Times New Roman"/>
          <w:kern w:val="0"/>
          <w:sz w:val="32"/>
          <w:szCs w:val="32"/>
        </w:rPr>
        <w:t>按照</w:t>
      </w:r>
      <w:r>
        <w:rPr>
          <w:rFonts w:ascii="Times New Roman" w:hAnsi="Times New Roman" w:eastAsia="仿宋_GB2312" w:cs="Times New Roman"/>
          <w:kern w:val="32"/>
          <w:sz w:val="32"/>
          <w:szCs w:val="32"/>
        </w:rPr>
        <w:t>“公平公正、标准引领、质量优先、彰显特色”的原则，</w:t>
      </w:r>
      <w:r>
        <w:rPr>
          <w:rFonts w:ascii="Times New Roman" w:hAnsi="Times New Roman" w:eastAsia="仿宋_GB2312" w:cs="Times New Roman"/>
          <w:kern w:val="0"/>
          <w:sz w:val="32"/>
          <w:szCs w:val="32"/>
        </w:rPr>
        <w:t>组织</w:t>
      </w:r>
      <w:r>
        <w:rPr>
          <w:rFonts w:ascii="Times New Roman" w:hAnsi="Times New Roman" w:eastAsia="仿宋_GB2312" w:cs="Times New Roman"/>
          <w:kern w:val="32"/>
          <w:sz w:val="32"/>
          <w:szCs w:val="32"/>
        </w:rPr>
        <w:t>专家对申报材料进行评议，提出建议名单。省委教育工委、省教育厅对建议名单进行审批，确定</w:t>
      </w:r>
      <w:r>
        <w:rPr>
          <w:rFonts w:ascii="Times New Roman" w:hAnsi="Times New Roman" w:eastAsia="仿宋_GB2312" w:cs="Times New Roman"/>
          <w:kern w:val="0"/>
          <w:sz w:val="32"/>
          <w:szCs w:val="32"/>
        </w:rPr>
        <w:t>高校思想政治工作精品项目</w:t>
      </w:r>
      <w:r>
        <w:rPr>
          <w:rFonts w:ascii="Times New Roman" w:hAnsi="Times New Roman" w:eastAsia="仿宋_GB2312" w:cs="Times New Roman"/>
          <w:kern w:val="32"/>
          <w:sz w:val="32"/>
          <w:szCs w:val="32"/>
        </w:rPr>
        <w:t>入选名单并进行公示。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第七条  </w:t>
      </w:r>
      <w:r>
        <w:rPr>
          <w:rFonts w:ascii="Times New Roman" w:hAnsi="Times New Roman" w:eastAsia="仿宋_GB2312" w:cs="Times New Roman"/>
          <w:kern w:val="0"/>
          <w:sz w:val="32"/>
          <w:szCs w:val="32"/>
        </w:rPr>
        <w:t>对候选名单进行公示后，正式下达立项通知。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第四章  项目过程管理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第八条</w:t>
      </w:r>
      <w:r>
        <w:rPr>
          <w:rFonts w:ascii="Times New Roman" w:hAnsi="Times New Roman" w:eastAsia="仿宋_GB2312" w:cs="Times New Roman"/>
          <w:kern w:val="0"/>
          <w:sz w:val="32"/>
          <w:szCs w:val="32"/>
        </w:rPr>
        <w:t xml:space="preserve">  精品项目经批准后不得随意更改建设计划，确需变更时要履行报批手续，项目所在学校在审查变更时应严格把关。项目自批准之日起，培育建设周期一般为2年，特殊情况可申请延期，一次最多不超过6个月，一个项目申请延期最多不得超过2次。延期申请须经省委教育工委、省教育厅同意后，方可生效。</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bCs/>
          <w:kern w:val="0"/>
          <w:sz w:val="32"/>
          <w:szCs w:val="32"/>
        </w:rPr>
        <w:t xml:space="preserve">第九条  </w:t>
      </w:r>
      <w:r>
        <w:rPr>
          <w:rFonts w:ascii="Times New Roman" w:hAnsi="Times New Roman" w:eastAsia="仿宋_GB2312" w:cs="Times New Roman"/>
          <w:kern w:val="0"/>
          <w:sz w:val="32"/>
          <w:szCs w:val="32"/>
        </w:rPr>
        <w:t>为保证工作质量，采取目标管理与过程管理相结合的办法，实行中期检查制度。中期检查</w:t>
      </w:r>
      <w:r>
        <w:rPr>
          <w:rFonts w:ascii="Times New Roman" w:hAnsi="Times New Roman" w:eastAsia="仿宋_GB2312" w:cs="Times New Roman"/>
          <w:sz w:val="32"/>
          <w:szCs w:val="32"/>
        </w:rPr>
        <w:t>采取审核报告的方式进行。</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第十条 </w:t>
      </w:r>
      <w:r>
        <w:rPr>
          <w:rFonts w:ascii="Times New Roman" w:hAnsi="Times New Roman" w:eastAsia="仿宋_GB2312" w:cs="Times New Roman"/>
          <w:kern w:val="0"/>
          <w:sz w:val="32"/>
          <w:szCs w:val="32"/>
        </w:rPr>
        <w:t xml:space="preserve"> 有下列情况之一者，做撤项处理：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1.经专家组评估，项目高校不具备按原计划完成项目建设任务的条件和可能。</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2.未经批准擅自变更项目责任人或项目名称和基本内容。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3.项目规定周期内未能完成约定的任务，2次申请延期后仍未完成。</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4.2次结项验收均未通过。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5.项目成果存在严重政治问题或严重学术不端行为。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6.在申请结项过程中违反规定弄虚作假。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凡被撤销的项目，将进行公示并通报学校党委，追回项目支持经费，并将酌情核减所在高校下阶段精品项目立项数量。</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第五章  项目经费与政策支持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第十一条  </w:t>
      </w:r>
      <w:r>
        <w:rPr>
          <w:rFonts w:ascii="Times New Roman" w:hAnsi="Times New Roman" w:eastAsia="仿宋_GB2312" w:cs="Times New Roman"/>
          <w:kern w:val="0"/>
          <w:sz w:val="32"/>
          <w:szCs w:val="32"/>
        </w:rPr>
        <w:t>省委教育工委、省教育厅对每个精品项目在高校“双一流”专项资金中给予支持，一次性拨付，主要用于项目实施推进、完善优化和成果转化推广等。项目所在高校要给予一定的政策、经费配套支持。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第十二条  </w:t>
      </w:r>
      <w:r>
        <w:rPr>
          <w:rFonts w:ascii="Times New Roman" w:hAnsi="Times New Roman" w:eastAsia="仿宋_GB2312" w:cs="Times New Roman"/>
          <w:kern w:val="0"/>
          <w:sz w:val="32"/>
          <w:szCs w:val="32"/>
        </w:rPr>
        <w:t>项目经费须专款专用，严格按照国家和湖南省经费管理有关规定执行，不得用于与项目无关的开支。</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第十三条  </w:t>
      </w:r>
      <w:r>
        <w:rPr>
          <w:rFonts w:ascii="Times New Roman" w:hAnsi="Times New Roman" w:eastAsia="仿宋_GB2312" w:cs="Times New Roman"/>
          <w:kern w:val="0"/>
          <w:sz w:val="32"/>
          <w:szCs w:val="32"/>
        </w:rPr>
        <w:t>项目作为省级教改项目，纳入高校教师的教学科研成果统计、职务（职称）评聘范围。</w:t>
      </w:r>
    </w:p>
    <w:p>
      <w:pPr>
        <w:adjustRightInd w:val="0"/>
        <w:snapToGrid w:val="0"/>
        <w:spacing w:line="570" w:lineRule="exact"/>
        <w:ind w:firstLine="640" w:firstLineChars="200"/>
        <w:rPr>
          <w:rFonts w:ascii="Times New Roman" w:hAnsi="Times New Roman" w:eastAsia="仿宋_GB2312" w:cs="Times New Roman"/>
          <w:kern w:val="32"/>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第六章  项目验收与成果转化</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第十四条  </w:t>
      </w:r>
      <w:r>
        <w:rPr>
          <w:rFonts w:ascii="Times New Roman" w:hAnsi="Times New Roman" w:eastAsia="仿宋_GB2312" w:cs="Times New Roman"/>
          <w:kern w:val="0"/>
          <w:sz w:val="32"/>
          <w:szCs w:val="32"/>
        </w:rPr>
        <w:t>项目培育建设期结束后进行结项验收，履行结项手续。</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1.项目负责人须填写项目结项表，将工作进展情况、实践探索和理论创新情况形成项目成果报告，并提供支撑说明材料。结项材料经所在学校党委审核同意后，报送省委教育工委、省教育厅。</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2.对通过验收、确认可以结项者，颁发结项证明，并将验收情况予以公布。</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3.项目验收后，项目所在高校仍需不断优化完善，并持续推动开展相关工作。</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第十五条   </w:t>
      </w:r>
      <w:r>
        <w:rPr>
          <w:rFonts w:ascii="Times New Roman" w:hAnsi="Times New Roman" w:eastAsia="仿宋_GB2312" w:cs="Times New Roman"/>
          <w:kern w:val="0"/>
          <w:sz w:val="32"/>
          <w:szCs w:val="32"/>
        </w:rPr>
        <w:t>建立科学合理的项目成果评价体系，注重成果质量，注重实际价值。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项目验收分优秀、合格、不合格三个等级。对成果验收为优秀的项目，予以通报表扬并作为项目责任高校再次申报项目的重要参考；对成果验收不合格的项目，视完成情况可以予以一次延期修正，延期最多不超过6个月，延期修正后验收仍不合格的，一律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第十六条</w:t>
      </w:r>
      <w:r>
        <w:rPr>
          <w:rFonts w:ascii="Times New Roman" w:hAnsi="Times New Roman" w:eastAsia="仿宋_GB2312" w:cs="Times New Roman"/>
          <w:kern w:val="0"/>
          <w:sz w:val="32"/>
          <w:szCs w:val="32"/>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pPr>
        <w:adjustRightInd w:val="0"/>
        <w:snapToGrid w:val="0"/>
        <w:spacing w:line="570" w:lineRule="exact"/>
        <w:ind w:firstLine="640" w:firstLineChars="200"/>
        <w:rPr>
          <w:rFonts w:ascii="Times New Roman" w:hAnsi="Times New Roman" w:eastAsia="仿宋_GB2312"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第七章 附 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第十七条</w:t>
      </w:r>
      <w:r>
        <w:rPr>
          <w:rFonts w:ascii="Times New Roman" w:hAnsi="Times New Roman" w:eastAsia="仿宋_GB2312" w:cs="Times New Roman"/>
          <w:kern w:val="0"/>
          <w:sz w:val="32"/>
          <w:szCs w:val="32"/>
        </w:rPr>
        <w:t xml:space="preserve">  本办法由省委教育工委、省教育厅负责解释。</w:t>
      </w:r>
    </w:p>
    <w:p>
      <w:pPr>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第十八条</w:t>
      </w:r>
      <w:r>
        <w:rPr>
          <w:rFonts w:ascii="Times New Roman" w:hAnsi="Times New Roman" w:eastAsia="仿宋_GB2312" w:cs="Times New Roman"/>
          <w:kern w:val="0"/>
          <w:sz w:val="32"/>
          <w:szCs w:val="32"/>
        </w:rPr>
        <w:t xml:space="preserve">  本办法自发布之日起施行。</w:t>
      </w:r>
      <w:bookmarkEnd w:id="1"/>
    </w:p>
    <w:p>
      <w:pPr>
        <w:widowControl/>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br w:type="page"/>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湖南省高校思想政治工作中青年骨干</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tabs>
          <w:tab w:val="left" w:pos="709"/>
          <w:tab w:val="left" w:pos="8080"/>
        </w:tabs>
        <w:jc w:val="center"/>
        <w:rPr>
          <w:rFonts w:ascii="Times New Roman" w:hAnsi="Times New Roman" w:eastAsia="楷体_GB2312" w:cs="Times New Roman"/>
          <w:b/>
          <w:kern w:val="0"/>
          <w:sz w:val="44"/>
          <w:szCs w:val="20"/>
        </w:rPr>
      </w:pPr>
    </w:p>
    <w:p>
      <w:pPr>
        <w:rPr>
          <w:rFonts w:ascii="Times New Roman" w:hAnsi="Times New Roman" w:eastAsia="文鼎大标宋简" w:cs="Times New Roman"/>
          <w:sz w:val="52"/>
        </w:rPr>
      </w:pPr>
    </w:p>
    <w:p>
      <w:pPr>
        <w:jc w:val="center"/>
        <w:rPr>
          <w:rFonts w:ascii="Times New Roman" w:hAnsi="Times New Roman" w:eastAsia="文鼎大标宋简" w:cs="Times New Roman"/>
          <w:sz w:val="52"/>
        </w:rPr>
      </w:pPr>
    </w:p>
    <w:p>
      <w:pPr>
        <w:adjustRightInd w:val="0"/>
        <w:snapToGrid w:val="0"/>
        <w:spacing w:line="480" w:lineRule="auto"/>
        <w:ind w:firstLine="915" w:firstLineChars="260"/>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567"/>
        </w:tabs>
        <w:adjustRightInd w:val="0"/>
        <w:snapToGrid w:val="0"/>
        <w:spacing w:line="480" w:lineRule="auto"/>
        <w:ind w:firstLine="992" w:firstLineChars="310"/>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firstLine="992" w:firstLineChars="310"/>
        <w:rPr>
          <w:rFonts w:ascii="Times New Roman" w:hAnsi="Times New Roman" w:eastAsia="仿宋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1263"/>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spacing w:val="-40"/>
                <w:kern w:val="0"/>
                <w:sz w:val="32"/>
                <w:szCs w:val="32"/>
              </w:rPr>
            </w:pPr>
            <w:r>
              <w:rPr>
                <w:rFonts w:ascii="Times New Roman" w:hAnsi="Times New Roman" w:eastAsia="楷体_GB2312" w:cs="Times New Roman"/>
                <w:b/>
                <w:bCs/>
                <w:spacing w:val="-40"/>
                <w:kern w:val="0"/>
                <w:sz w:val="32"/>
                <w:szCs w:val="32"/>
              </w:rPr>
              <w:t>中共湖南省委教育工委</w:t>
            </w:r>
          </w:p>
        </w:tc>
        <w:tc>
          <w:tcPr>
            <w:tcW w:w="1263"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1263"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bookmarkStart w:id="2" w:name="_Hlk8645520"/>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420" w:lineRule="exact"/>
        <w:jc w:val="center"/>
        <w:rPr>
          <w:rFonts w:ascii="Times New Roman" w:hAnsi="Times New Roman" w:eastAsia="楷体_GB2312" w:cs="Times New Roman"/>
          <w:sz w:val="36"/>
        </w:rPr>
      </w:pP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6．“从事思想政治工作或担任思政课专职教师时间”、“现职务\职级晋升时间”为截至20</w:t>
      </w:r>
      <w:r>
        <w:rPr>
          <w:rFonts w:hint="eastAsia" w:ascii="Times New Roman" w:hAnsi="Times New Roman" w:eastAsia="楷体" w:cs="Times New Roman"/>
          <w:sz w:val="28"/>
          <w:szCs w:val="28"/>
        </w:rPr>
        <w:t>21</w:t>
      </w:r>
      <w:r>
        <w:rPr>
          <w:rFonts w:ascii="Times New Roman" w:hAnsi="Times New Roman" w:eastAsia="楷体" w:cs="Times New Roman"/>
          <w:sz w:val="28"/>
          <w:szCs w:val="28"/>
        </w:rPr>
        <w:t>年5月的时间，填写格式为“X年X个月”；</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2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bookmarkEnd w:id="2"/>
    </w:p>
    <w:p>
      <w:pPr>
        <w:widowControl/>
        <w:jc w:val="left"/>
        <w:rPr>
          <w:rFonts w:ascii="Times New Roman" w:hAnsi="Times New Roman" w:eastAsia="黑体" w:cs="Times New Roman"/>
          <w:bCs/>
          <w:sz w:val="28"/>
          <w:szCs w:val="28"/>
        </w:rPr>
      </w:pPr>
      <w:r>
        <w:rPr>
          <w:rFonts w:ascii="Times New Roman" w:hAnsi="Times New Roman" w:eastAsia="仿宋_GB2312" w:cs="Times New Roman"/>
          <w:sz w:val="30"/>
          <w:szCs w:val="30"/>
        </w:rPr>
        <w:br w:type="page"/>
      </w:r>
      <w:r>
        <w:rPr>
          <w:rFonts w:ascii="Times New Roman" w:hAnsi="Times New Roman" w:eastAsia="黑体" w:cs="Times New Roman"/>
          <w:bCs/>
          <w:sz w:val="28"/>
          <w:szCs w:val="28"/>
        </w:rPr>
        <w:t>一、基本情况</w:t>
      </w:r>
    </w:p>
    <w:tbl>
      <w:tblPr>
        <w:tblStyle w:val="15"/>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85"/>
        <w:gridCol w:w="1350"/>
        <w:gridCol w:w="1418"/>
        <w:gridCol w:w="728"/>
        <w:gridCol w:w="972"/>
        <w:gridCol w:w="181"/>
        <w:gridCol w:w="72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3" w:name="_Hlk8645864"/>
            <w:r>
              <w:rPr>
                <w:rFonts w:ascii="Times New Roman" w:hAnsi="Times New Roman" w:cs="Times New Roman"/>
                <w:sz w:val="24"/>
              </w:rPr>
              <w:t>姓　  名</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41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729"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w:t>
            </w:r>
          </w:p>
          <w:p>
            <w:pPr>
              <w:snapToGrid w:val="0"/>
              <w:jc w:val="center"/>
              <w:rPr>
                <w:rFonts w:ascii="Times New Roman" w:hAnsi="Times New Roman" w:cs="Times New Roman"/>
                <w:sz w:val="24"/>
              </w:rPr>
            </w:pPr>
            <w:r>
              <w:rPr>
                <w:rFonts w:ascii="Times New Roman" w:hAnsi="Times New Roman" w:cs="Times New Roman"/>
                <w:sz w:val="24"/>
              </w:rPr>
              <w:t>晋升时间</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从事思政工作或担任</w:t>
            </w:r>
          </w:p>
          <w:p>
            <w:pPr>
              <w:snapToGrid w:val="0"/>
              <w:jc w:val="center"/>
              <w:rPr>
                <w:rFonts w:ascii="Times New Roman" w:hAnsi="Times New Roman" w:cs="Times New Roman"/>
                <w:sz w:val="24"/>
              </w:rPr>
            </w:pPr>
            <w:r>
              <w:rPr>
                <w:rFonts w:ascii="Times New Roman" w:hAnsi="Times New Roman" w:cs="Times New Roman"/>
                <w:sz w:val="24"/>
              </w:rPr>
              <w:t>思政课专职教师时间</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教育背景</w:t>
            </w:r>
          </w:p>
          <w:p>
            <w:pPr>
              <w:snapToGrid w:val="0"/>
              <w:jc w:val="center"/>
              <w:rPr>
                <w:rFonts w:ascii="Times New Roman" w:hAnsi="Times New Roman" w:cs="Times New Roman"/>
                <w:sz w:val="24"/>
              </w:rPr>
            </w:pPr>
            <w:r>
              <w:rPr>
                <w:rFonts w:ascii="Times New Roman" w:hAnsi="Times New Roman" w:cs="Times New Roman"/>
                <w:sz w:val="24"/>
              </w:rPr>
              <w:t>(自大学起)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学校</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工作简历</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单位</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二、现有工作基础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2-1工作实绩和申报优势</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4"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（限1000字以内）</w:t>
            </w:r>
          </w:p>
          <w:p>
            <w:pPr>
              <w:spacing w:line="150" w:lineRule="atLeast"/>
              <w:rPr>
                <w:rFonts w:ascii="Times New Roman" w:hAnsi="Times New Roman" w:cs="Times New Roman"/>
                <w:b/>
                <w:sz w:val="24"/>
              </w:rPr>
            </w:pPr>
          </w:p>
        </w:tc>
      </w:tr>
    </w:tbl>
    <w:p>
      <w:pPr>
        <w:spacing w:before="156" w:beforeLines="50" w:after="156" w:afterLines="50" w:line="280" w:lineRule="exact"/>
        <w:rPr>
          <w:rFonts w:ascii="Times New Roman" w:hAnsi="Times New Roman" w:eastAsia="楷体_GB2312" w:cs="Times New Roman"/>
          <w:b/>
          <w:sz w:val="24"/>
        </w:rPr>
      </w:pPr>
      <w:r>
        <w:rPr>
          <w:rFonts w:ascii="Times New Roman" w:hAnsi="Times New Roman" w:eastAsia="楷体_GB2312" w:cs="Times New Roman"/>
          <w:b/>
          <w:sz w:val="24"/>
        </w:rPr>
        <w:t>2-2近五年工作获奖励情况</w:t>
      </w:r>
    </w:p>
    <w:p>
      <w:pPr>
        <w:spacing w:before="156" w:beforeLines="50" w:after="156" w:afterLines="50" w:line="240" w:lineRule="atLeast"/>
        <w:rPr>
          <w:rFonts w:ascii="Times New Roman" w:hAnsi="Times New Roman" w:cs="Times New Roman"/>
          <w:b/>
          <w:sz w:val="24"/>
        </w:rPr>
      </w:pPr>
      <w:r>
        <w:rPr>
          <w:rFonts w:ascii="Times New Roman" w:hAnsi="Times New Roman" w:eastAsia="楷体_GB2312" w:cs="Times New Roman"/>
          <w:b/>
        </w:rPr>
        <w:t>（注：获奖名称请写明全称。）</w:t>
      </w:r>
    </w:p>
    <w:tbl>
      <w:tblPr>
        <w:tblStyle w:val="15"/>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3178"/>
        <w:gridCol w:w="2911"/>
        <w:gridCol w:w="116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序号</w:t>
            </w:r>
          </w:p>
        </w:tc>
        <w:tc>
          <w:tcPr>
            <w:tcW w:w="1711"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获奖名称</w:t>
            </w:r>
          </w:p>
        </w:tc>
        <w:tc>
          <w:tcPr>
            <w:tcW w:w="156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授予单位</w:t>
            </w:r>
          </w:p>
        </w:tc>
        <w:tc>
          <w:tcPr>
            <w:tcW w:w="62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排序</w:t>
            </w:r>
          </w:p>
        </w:tc>
        <w:tc>
          <w:tcPr>
            <w:tcW w:w="695"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2-3近五年工作代表性成果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15"/>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3171"/>
        <w:gridCol w:w="2948"/>
        <w:gridCol w:w="112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705"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585"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0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03"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2-4近五年理论研究成果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15"/>
        <w:tblW w:w="5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2827"/>
        <w:gridCol w:w="3523"/>
        <w:gridCol w:w="101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13"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19"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93"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547"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29"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bl>
    <w:p>
      <w:pPr>
        <w:snapToGrid w:val="0"/>
        <w:spacing w:before="156" w:beforeLines="50" w:line="280" w:lineRule="exact"/>
        <w:rPr>
          <w:rFonts w:ascii="Times New Roman" w:hAnsi="Times New Roman" w:eastAsia="楷体_GB2312" w:cs="Times New Roman"/>
          <w:b/>
          <w:sz w:val="24"/>
        </w:rPr>
      </w:pPr>
      <w:r>
        <w:rPr>
          <w:rFonts w:ascii="Times New Roman" w:hAnsi="Times New Roman" w:eastAsia="楷体_GB2312" w:cs="Times New Roman"/>
          <w:b/>
          <w:sz w:val="24"/>
        </w:rPr>
        <w:t>2-5近五年主持的工作和科研项目立项情况</w:t>
      </w:r>
    </w:p>
    <w:p>
      <w:pPr>
        <w:snapToGrid w:val="0"/>
        <w:spacing w:line="200" w:lineRule="atLeast"/>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15"/>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588"/>
        <w:gridCol w:w="2165"/>
        <w:gridCol w:w="9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929"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164"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500"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93"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三、未来规划</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包括理论宣讲、实践创新、成果转化等方面的规划及预期成效。（限2000字以内）</w:t>
            </w: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四、推荐意见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签字盖章：</w:t>
            </w:r>
          </w:p>
          <w:p>
            <w:pPr>
              <w:rPr>
                <w:rFonts w:ascii="Times New Roman" w:hAnsi="Times New Roman" w:cs="Times New Roman"/>
                <w:sz w:val="24"/>
              </w:rPr>
            </w:pPr>
          </w:p>
          <w:p>
            <w:pPr>
              <w:ind w:firstLine="120" w:firstLineChars="5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footerReference r:id="rId9" w:type="default"/>
          <w:footerReference r:id="rId10" w:type="even"/>
          <w:pgSz w:w="11906" w:h="16838"/>
          <w:pgMar w:top="2098" w:right="1474" w:bottom="1985" w:left="1588" w:header="851" w:footer="1588" w:gutter="0"/>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湖南省高校思想政治工作优秀团队</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项目名称：</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60"/>
        <w:jc w:val="left"/>
        <w:rPr>
          <w:rFonts w:ascii="Times New Roman" w:hAnsi="Times New Roman" w:eastAsia="楷体_GB2312" w:cs="Times New Roman"/>
          <w:u w:val="single"/>
        </w:rPr>
      </w:pPr>
      <w:r>
        <w:rPr>
          <w:rFonts w:ascii="Times New Roman" w:hAnsi="Times New Roman" w:eastAsia="楷体_GB2312" w:cs="Times New Roman"/>
          <w:spacing w:val="16"/>
          <w:kern w:val="32"/>
          <w:sz w:val="32"/>
        </w:rPr>
        <w:t>项目负责人：</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1000" w:lineRule="exact"/>
        <w:ind w:firstLine="563" w:firstLineChars="176"/>
        <w:jc w:val="left"/>
        <w:rPr>
          <w:rFonts w:ascii="Times New Roman" w:hAnsi="Times New Roman" w:eastAsia="楷体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cs="Times New Roman"/>
          <w:b/>
          <w:sz w:val="36"/>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一、填写《申报书》前，请仔细阅读省委教育工委、省教育厅印发的《湖南高省校思想政治工作骨干队伍建设项目管理办法（试行）》。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w:t>
      </w:r>
      <w:r>
        <w:rPr>
          <w:rFonts w:hint="eastAsia" w:ascii="Times New Roman" w:hAnsi="Times New Roman" w:eastAsia="楷体" w:cs="Times New Roman"/>
          <w:sz w:val="28"/>
          <w:szCs w:val="28"/>
        </w:rPr>
        <w:t>21</w:t>
      </w:r>
      <w:r>
        <w:rPr>
          <w:rFonts w:ascii="Times New Roman" w:hAnsi="Times New Roman" w:eastAsia="楷体" w:cs="Times New Roman"/>
          <w:sz w:val="28"/>
          <w:szCs w:val="28"/>
        </w:rPr>
        <w:t>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jc w:val="left"/>
        <w:rPr>
          <w:rFonts w:ascii="Times New Roman" w:hAnsi="Times New Roman" w:eastAsia="黑体" w:cs="Times New Roman"/>
          <w:sz w:val="36"/>
          <w:szCs w:val="36"/>
        </w:rPr>
        <w:sectPr>
          <w:footerReference r:id="rId11" w:type="default"/>
          <w:pgSz w:w="11906" w:h="16838"/>
          <w:pgMar w:top="2098" w:right="1474" w:bottom="1985" w:left="1588" w:header="851" w:footer="1588" w:gutter="0"/>
          <w:cols w:space="425" w:num="1"/>
          <w:docGrid w:type="lines" w:linePitch="312" w:charSpace="0"/>
        </w:sectPr>
      </w:pPr>
    </w:p>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一、申请人信息</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502"/>
        <w:gridCol w:w="707"/>
        <w:gridCol w:w="1701"/>
        <w:gridCol w:w="729"/>
        <w:gridCol w:w="729"/>
        <w:gridCol w:w="182"/>
        <w:gridCol w:w="72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4" w:name="_Hlk8653638"/>
            <w:r>
              <w:rPr>
                <w:rFonts w:ascii="Times New Roman" w:hAnsi="Times New Roman" w:cs="Times New Roman"/>
                <w:sz w:val="24"/>
              </w:rPr>
              <w:t>姓　  名</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从事思政工作或开展思政课教学时间</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408"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61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申请人本人近五年开展思政工作/从事思政课教学、研究情况（限500字以内）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9067" w:type="dxa"/>
            <w:gridSpan w:val="10"/>
            <w:vAlign w:val="center"/>
          </w:tcPr>
          <w:p>
            <w:pPr>
              <w:snapToGrid w:val="0"/>
              <w:rPr>
                <w:rFonts w:ascii="Times New Roman" w:hAnsi="Times New Roman" w:cs="Times New Roman"/>
                <w:sz w:val="24"/>
              </w:rPr>
            </w:pPr>
          </w:p>
        </w:tc>
      </w:tr>
      <w:bookmarkEnd w:id="4"/>
    </w:tbl>
    <w:p>
      <w:pPr>
        <w:spacing w:line="240" w:lineRule="atLeast"/>
        <w:rPr>
          <w:rFonts w:ascii="Times New Roman" w:hAnsi="Times New Roman" w:eastAsia="黑体" w:cs="Times New Roman"/>
          <w:bCs/>
          <w:sz w:val="28"/>
          <w:szCs w:val="28"/>
        </w:rPr>
      </w:pPr>
      <w:bookmarkStart w:id="5" w:name="_Hlk8653555"/>
      <w:r>
        <w:rPr>
          <w:rFonts w:ascii="Times New Roman" w:hAnsi="Times New Roman" w:eastAsia="黑体" w:cs="Times New Roman"/>
          <w:bCs/>
          <w:sz w:val="28"/>
          <w:szCs w:val="28"/>
        </w:rPr>
        <w:t>二、团队成员情况</w:t>
      </w:r>
    </w:p>
    <w:tbl>
      <w:tblPr>
        <w:tblStyle w:val="15"/>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255"/>
        <w:gridCol w:w="1090"/>
        <w:gridCol w:w="23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snapToGrid w:val="0"/>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snapToGrid w:val="0"/>
              <w:jc w:val="center"/>
              <w:rPr>
                <w:rFonts w:ascii="Times New Roman" w:hAnsi="Times New Roman" w:cs="Times New Roman"/>
                <w:sz w:val="24"/>
              </w:rPr>
            </w:pPr>
            <w:r>
              <w:rPr>
                <w:rFonts w:ascii="Times New Roman" w:hAnsi="Times New Roman" w:cs="Times New Roman"/>
                <w:sz w:val="24"/>
              </w:rPr>
              <w:t>职务/职称</w:t>
            </w:r>
          </w:p>
        </w:tc>
        <w:tc>
          <w:tcPr>
            <w:tcW w:w="1255" w:type="dxa"/>
            <w:vAlign w:val="center"/>
          </w:tcPr>
          <w:p>
            <w:pPr>
              <w:snapToGrid w:val="0"/>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c>
          <w:tcPr>
            <w:tcW w:w="2312" w:type="dxa"/>
            <w:vAlign w:val="center"/>
          </w:tcPr>
          <w:p>
            <w:pPr>
              <w:snapToGrid w:val="0"/>
              <w:jc w:val="center"/>
              <w:rPr>
                <w:rFonts w:ascii="Times New Roman" w:hAnsi="Times New Roman" w:cs="Times New Roman"/>
                <w:sz w:val="24"/>
              </w:rPr>
            </w:pPr>
            <w:r>
              <w:rPr>
                <w:rFonts w:ascii="Times New Roman" w:hAnsi="Times New Roman" w:cs="Times New Roman"/>
                <w:sz w:val="24"/>
              </w:rPr>
              <w:t>工作单位</w:t>
            </w:r>
          </w:p>
        </w:tc>
        <w:tc>
          <w:tcPr>
            <w:tcW w:w="1439" w:type="dxa"/>
            <w:vAlign w:val="center"/>
          </w:tcPr>
          <w:p>
            <w:pPr>
              <w:snapToGrid w:val="0"/>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bl>
    <w:p>
      <w:pPr>
        <w:jc w:val="left"/>
        <w:rPr>
          <w:rFonts w:ascii="Times New Roman" w:hAnsi="Times New Roman" w:eastAsia="仿宋_GB2312" w:cs="Times New Roman"/>
        </w:rPr>
      </w:pPr>
      <w:r>
        <w:rPr>
          <w:rFonts w:ascii="Times New Roman" w:hAnsi="Times New Roman" w:eastAsia="仿宋_GB2312" w:cs="Times New Roman"/>
        </w:rPr>
        <w:t>注：团队成员总数及每类成员人数可根据需要自行调整。</w:t>
      </w:r>
    </w:p>
    <w:bookmarkEnd w:id="5"/>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 团队近五年省级及以上与选题相关的获奖情况</w:t>
      </w:r>
    </w:p>
    <w:p>
      <w:pPr>
        <w:snapToGrid w:val="0"/>
        <w:rPr>
          <w:rFonts w:ascii="Times New Roman" w:hAnsi="Times New Roman" w:eastAsia="楷体_GB2312" w:cs="Times New Roman"/>
          <w:b/>
        </w:rPr>
      </w:pPr>
      <w:r>
        <w:rPr>
          <w:rFonts w:ascii="Times New Roman" w:hAnsi="Times New Roman" w:eastAsia="楷体_GB2312" w:cs="Times New Roman"/>
          <w:b/>
        </w:rPr>
        <w:t>（注：奖项名称请写全称，限填5项。）</w:t>
      </w:r>
    </w:p>
    <w:tbl>
      <w:tblPr>
        <w:tblStyle w:val="15"/>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1440"/>
        <w:gridCol w:w="20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center"/>
              <w:rPr>
                <w:rFonts w:ascii="Times New Roman" w:hAnsi="Times New Roman" w:cs="Times New Roman"/>
                <w:sz w:val="24"/>
              </w:rPr>
            </w:pPr>
            <w:r>
              <w:rPr>
                <w:rFonts w:ascii="Times New Roman" w:hAnsi="Times New Roman" w:cs="Times New Roman"/>
                <w:sz w:val="24"/>
              </w:rPr>
              <w:t>奖项名称</w:t>
            </w:r>
          </w:p>
        </w:tc>
        <w:tc>
          <w:tcPr>
            <w:tcW w:w="1440" w:type="dxa"/>
            <w:vAlign w:val="center"/>
          </w:tcPr>
          <w:p>
            <w:pPr>
              <w:snapToGrid w:val="0"/>
              <w:jc w:val="center"/>
              <w:rPr>
                <w:rFonts w:ascii="Times New Roman" w:hAnsi="Times New Roman" w:cs="Times New Roman"/>
                <w:sz w:val="24"/>
              </w:rPr>
            </w:pPr>
            <w:r>
              <w:rPr>
                <w:rFonts w:ascii="Times New Roman" w:hAnsi="Times New Roman" w:cs="Times New Roman"/>
                <w:sz w:val="24"/>
              </w:rPr>
              <w:t>级别</w:t>
            </w:r>
          </w:p>
        </w:tc>
        <w:tc>
          <w:tcPr>
            <w:tcW w:w="2000" w:type="dxa"/>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1134" w:type="dxa"/>
            <w:vAlign w:val="center"/>
          </w:tcPr>
          <w:p>
            <w:pPr>
              <w:snapToGrid w:val="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 团队近五年与选题相关的工作和科研项目立项情况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（注：项目名称请写全称，经费单位为万元，限填5项。）</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184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r>
              <w:rPr>
                <w:rFonts w:ascii="Times New Roman" w:hAnsi="Times New Roman" w:cs="Times New Roman"/>
                <w:sz w:val="24"/>
              </w:rPr>
              <w:t>项目名称</w:t>
            </w:r>
          </w:p>
        </w:tc>
        <w:tc>
          <w:tcPr>
            <w:tcW w:w="1846" w:type="dxa"/>
            <w:vAlign w:val="center"/>
          </w:tcPr>
          <w:p>
            <w:pPr>
              <w:snapToGrid w:val="0"/>
              <w:jc w:val="center"/>
              <w:rPr>
                <w:rFonts w:ascii="Times New Roman" w:hAnsi="Times New Roman" w:cs="Times New Roman"/>
                <w:sz w:val="24"/>
              </w:rPr>
            </w:pPr>
            <w:r>
              <w:rPr>
                <w:rFonts w:ascii="Times New Roman" w:hAnsi="Times New Roman" w:cs="Times New Roman"/>
                <w:sz w:val="24"/>
              </w:rPr>
              <w:t>项目来源</w:t>
            </w:r>
          </w:p>
        </w:tc>
        <w:tc>
          <w:tcPr>
            <w:tcW w:w="850" w:type="dxa"/>
            <w:vAlign w:val="center"/>
          </w:tcPr>
          <w:p>
            <w:pPr>
              <w:snapToGrid w:val="0"/>
              <w:jc w:val="center"/>
              <w:rPr>
                <w:rFonts w:ascii="Times New Roman" w:hAnsi="Times New Roman" w:cs="Times New Roman"/>
                <w:sz w:val="24"/>
              </w:rPr>
            </w:pPr>
            <w:r>
              <w:rPr>
                <w:rFonts w:ascii="Times New Roman" w:hAnsi="Times New Roman" w:cs="Times New Roman"/>
                <w:sz w:val="24"/>
              </w:rPr>
              <w:t>经费</w:t>
            </w:r>
          </w:p>
        </w:tc>
        <w:tc>
          <w:tcPr>
            <w:tcW w:w="1701" w:type="dxa"/>
            <w:vAlign w:val="center"/>
          </w:tcPr>
          <w:p>
            <w:pPr>
              <w:snapToGrid w:val="0"/>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 团队近五年与选题相关的论著情况</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（注：论著题目请写全称，限填5项。）</w:t>
      </w:r>
    </w:p>
    <w:tbl>
      <w:tblPr>
        <w:tblStyle w:val="15"/>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109"/>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6" w:type="dxa"/>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3109" w:type="dxa"/>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1417" w:type="dxa"/>
            <w:vAlign w:val="center"/>
          </w:tcPr>
          <w:p>
            <w:pPr>
              <w:jc w:val="center"/>
              <w:rPr>
                <w:rFonts w:ascii="Times New Roman" w:hAnsi="Times New Roman" w:cs="Times New Roman"/>
                <w:sz w:val="24"/>
              </w:rPr>
            </w:pPr>
            <w:r>
              <w:rPr>
                <w:rFonts w:ascii="Times New Roman" w:hAnsi="Times New Roman" w:cs="Times New Roman"/>
                <w:sz w:val="24"/>
              </w:rPr>
              <w:t>主要作者</w:t>
            </w:r>
          </w:p>
        </w:tc>
        <w:tc>
          <w:tcPr>
            <w:tcW w:w="1276" w:type="dxa"/>
            <w:vAlign w:val="center"/>
          </w:tcPr>
          <w:p>
            <w:pPr>
              <w:ind w:firstLine="240" w:firstLineChars="10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四、团队建设预期目标</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tcPr>
          <w:p>
            <w:pPr>
              <w:jc w:val="left"/>
              <w:rPr>
                <w:rFonts w:ascii="Times New Roman" w:hAnsi="Times New Roman" w:cs="Times New Roman"/>
                <w:sz w:val="24"/>
              </w:rPr>
            </w:pPr>
            <w:r>
              <w:rPr>
                <w:rFonts w:ascii="Times New Roman" w:hAnsi="Times New Roman" w:cs="Times New Roman"/>
                <w:sz w:val="24"/>
              </w:rPr>
              <w:t>包括申报团队在理论宣讲、团队建设、实践创新、工作研究、成果转化等方面的建设规划和预期目标。（限1000字以内）</w:t>
            </w:r>
          </w:p>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五、项目规划和实施成效</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shd w:val="clear" w:color="auto" w:fill="auto"/>
          </w:tcPr>
          <w:p>
            <w:pPr>
              <w:snapToGrid w:val="0"/>
              <w:rPr>
                <w:rFonts w:ascii="Times New Roman" w:hAnsi="Times New Roman" w:cs="Times New Roman"/>
                <w:bCs/>
                <w:sz w:val="24"/>
              </w:rPr>
            </w:pPr>
            <w:r>
              <w:rPr>
                <w:rFonts w:ascii="Times New Roman" w:hAnsi="Times New Roman" w:cs="Times New Roman"/>
                <w:sz w:val="24"/>
              </w:rPr>
              <w:t>(一)团队所设计研究项目的前期工作基础。（限1000字以内）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9" w:hRule="atLeast"/>
          <w:jc w:val="center"/>
        </w:trPr>
        <w:tc>
          <w:tcPr>
            <w:tcW w:w="9067" w:type="dxa"/>
            <w:shd w:val="clear" w:color="auto" w:fill="auto"/>
          </w:tcPr>
          <w:p>
            <w:pPr>
              <w:rPr>
                <w:rFonts w:ascii="Times New Roman" w:hAnsi="Times New Roman" w:cs="Times New Roman"/>
              </w:rPr>
            </w:pPr>
            <w:r>
              <w:rPr>
                <w:rFonts w:ascii="Times New Roman" w:hAnsi="Times New Roman" w:cs="Times New Roman"/>
              </w:rPr>
              <w:br w:type="page"/>
            </w:r>
            <w:r>
              <w:rPr>
                <w:rFonts w:ascii="Times New Roman" w:hAnsi="Times New Roman" w:cs="Times New Roman"/>
              </w:rPr>
              <w:br w:type="page"/>
            </w:r>
            <w:r>
              <w:rPr>
                <w:rFonts w:ascii="Times New Roman" w:hAnsi="Times New Roman" w:cs="Times New Roman"/>
                <w:sz w:val="24"/>
              </w:rPr>
              <w:t>（二）项目的建设目标、工作思路、主要内容、需突破的重难点及创新之处、进度安排、预期成效、最终成果形式等</w:t>
            </w:r>
            <w:r>
              <w:rPr>
                <w:rFonts w:ascii="Times New Roman" w:hAnsi="Times New Roman" w:cs="Times New Roman"/>
                <w:sz w:val="24"/>
                <w:vertAlign w:val="superscript"/>
              </w:rPr>
              <w:footnoteReference w:id="0"/>
            </w:r>
            <w:r>
              <w:rPr>
                <w:rFonts w:ascii="Times New Roman" w:hAnsi="Times New Roman" w:cs="Times New Roman"/>
                <w:sz w:val="24"/>
              </w:rPr>
              <w:t>。（限2000字以内）</w:t>
            </w:r>
          </w:p>
        </w:tc>
      </w:tr>
    </w:tbl>
    <w:p>
      <w:pPr>
        <w:rPr>
          <w:rFonts w:ascii="Times New Roman" w:hAnsi="Times New Roman" w:cs="Times New Roman"/>
        </w:rPr>
      </w:pPr>
    </w:p>
    <w:p>
      <w:pPr>
        <w:snapToGrid w:val="0"/>
        <w:rPr>
          <w:rFonts w:ascii="Times New Roman" w:hAnsi="Times New Roman" w:eastAsia="黑体" w:cs="Times New Roman"/>
          <w:szCs w:val="21"/>
        </w:rPr>
      </w:pPr>
      <w:r>
        <w:rPr>
          <w:rFonts w:ascii="Times New Roman" w:hAnsi="Times New Roman" w:eastAsia="黑体" w:cs="Times New Roman"/>
          <w:bCs/>
          <w:sz w:val="28"/>
          <w:szCs w:val="28"/>
        </w:rPr>
        <w:t>六、项目承诺书</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ind w:right="68"/>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r>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right="68" w:firstLine="6000" w:firstLineChars="2500"/>
              <w:jc w:val="left"/>
              <w:rPr>
                <w:rFonts w:ascii="Times New Roman" w:hAnsi="Times New Roman" w:cs="Times New Roman"/>
                <w:sz w:val="24"/>
              </w:rPr>
            </w:pPr>
            <w:r>
              <w:rPr>
                <w:rFonts w:ascii="Times New Roman" w:hAnsi="Times New Roman" w:cs="Times New Roman"/>
                <w:sz w:val="24"/>
              </w:rPr>
              <w:t>申请人（签章）：</w:t>
            </w:r>
          </w:p>
          <w:p>
            <w:pPr>
              <w:snapToGrid w:val="0"/>
              <w:ind w:firstLine="7320" w:firstLineChars="30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36"/>
          <w:szCs w:val="36"/>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七、推荐意见</w:t>
      </w:r>
    </w:p>
    <w:p>
      <w:pPr>
        <w:jc w:val="left"/>
        <w:rPr>
          <w:rFonts w:ascii="Times New Roman" w:hAnsi="Times New Roman" w:eastAsia="黑体" w:cs="Times New Roman"/>
          <w:sz w:val="24"/>
        </w:rPr>
      </w:pPr>
      <w:r>
        <w:rPr>
          <w:rFonts w:ascii="Times New Roman" w:hAnsi="Times New Roman" w:eastAsia="黑体" w:cs="Times New Roman"/>
          <w:sz w:val="24"/>
        </w:rPr>
        <w:t>学校科研管理部门意见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ind w:firstLine="360" w:firstLineChars="150"/>
              <w:jc w:val="left"/>
              <w:rPr>
                <w:rFonts w:ascii="Times New Roman" w:hAnsi="Times New Roman" w:cs="Times New Roman"/>
                <w:sz w:val="24"/>
              </w:rPr>
            </w:pPr>
            <w:r>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ind w:right="1120" w:firstLine="5760" w:firstLineChars="2400"/>
              <w:jc w:val="left"/>
              <w:rPr>
                <w:rFonts w:ascii="Times New Roman" w:hAnsi="Times New Roman" w:cs="Times New Roman"/>
                <w:sz w:val="24"/>
              </w:rPr>
            </w:pPr>
            <w:r>
              <w:rPr>
                <w:rFonts w:ascii="Times New Roman" w:hAnsi="Times New Roman" w:cs="Times New Roman"/>
                <w:sz w:val="24"/>
              </w:rPr>
              <w:t>科研管理部门公章</w:t>
            </w:r>
          </w:p>
          <w:p>
            <w:pPr>
              <w:ind w:right="-108" w:firstLine="7080" w:firstLineChars="29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24"/>
        </w:rPr>
      </w:pPr>
    </w:p>
    <w:p>
      <w:pPr>
        <w:jc w:val="left"/>
        <w:rPr>
          <w:rFonts w:ascii="Times New Roman" w:hAnsi="Times New Roman" w:eastAsia="黑体" w:cs="Times New Roman"/>
          <w:sz w:val="24"/>
        </w:rPr>
      </w:pPr>
    </w:p>
    <w:p>
      <w:pPr>
        <w:jc w:val="left"/>
        <w:rPr>
          <w:rFonts w:ascii="Times New Roman" w:hAnsi="Times New Roman" w:eastAsia="黑体" w:cs="Times New Roman"/>
          <w:sz w:val="24"/>
        </w:rPr>
      </w:pPr>
      <w:r>
        <w:rPr>
          <w:rFonts w:ascii="Times New Roman" w:hAnsi="Times New Roman" w:eastAsia="黑体" w:cs="Times New Roman"/>
          <w:sz w:val="24"/>
        </w:rPr>
        <w:t>所在学校意见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jc w:val="left"/>
              <w:rPr>
                <w:rFonts w:ascii="Times New Roman" w:hAnsi="Times New Roman" w:cs="Times New Roman"/>
                <w:sz w:val="24"/>
              </w:rPr>
            </w:pPr>
            <w:r>
              <w:rPr>
                <w:rFonts w:ascii="Times New Roman" w:hAnsi="Times New Roman" w:cs="Times New Roman"/>
                <w:sz w:val="24"/>
              </w:rPr>
              <w:t>申请人所在学校党委的推荐意见并对本表所填内容真实性作出承诺。</w:t>
            </w: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firstLine="6720" w:firstLineChars="2800"/>
              <w:jc w:val="left"/>
              <w:rPr>
                <w:rFonts w:ascii="Times New Roman" w:hAnsi="Times New Roman" w:cs="Times New Roman"/>
                <w:sz w:val="24"/>
              </w:rPr>
            </w:pPr>
            <w:r>
              <w:rPr>
                <w:rFonts w:ascii="Times New Roman" w:hAnsi="Times New Roman" w:cs="Times New Roman"/>
                <w:sz w:val="24"/>
              </w:rPr>
              <w:t>单位公章</w:t>
            </w:r>
          </w:p>
          <w:p>
            <w:pPr>
              <w:snapToGrid w:val="0"/>
              <w:ind w:firstLine="6840" w:firstLineChars="2850"/>
              <w:jc w:val="left"/>
              <w:rPr>
                <w:rFonts w:ascii="Times New Roman" w:hAnsi="Times New Roman" w:cs="Times New Roman"/>
                <w:sz w:val="24"/>
              </w:rPr>
            </w:pPr>
            <w:r>
              <w:rPr>
                <w:rFonts w:ascii="Times New Roman" w:hAnsi="Times New Roman" w:cs="Times New Roman"/>
                <w:sz w:val="24"/>
              </w:rPr>
              <w:t>　年　　月　　日</w:t>
            </w:r>
          </w:p>
        </w:tc>
      </w:tr>
    </w:tbl>
    <w:p>
      <w:pPr>
        <w:spacing w:line="680" w:lineRule="exact"/>
        <w:jc w:val="left"/>
        <w:rPr>
          <w:rFonts w:ascii="Times New Roman" w:hAnsi="Times New Roman" w:eastAsia="黑体" w:cs="Times New Roman"/>
          <w:sz w:val="32"/>
          <w:szCs w:val="32"/>
        </w:rPr>
        <w:sectPr>
          <w:pgSz w:w="11906" w:h="16838"/>
          <w:pgMar w:top="2098" w:right="1474" w:bottom="1985" w:left="1588" w:header="851" w:footer="1588" w:gutter="0"/>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tabs>
          <w:tab w:val="left" w:pos="709"/>
          <w:tab w:val="left" w:pos="8080"/>
        </w:tabs>
        <w:jc w:val="center"/>
        <w:rPr>
          <w:rFonts w:ascii="Times New Roman" w:hAnsi="Times New Roman" w:eastAsia="楷体_GB2312" w:cs="Times New Roman"/>
          <w:b/>
          <w:kern w:val="0"/>
          <w:sz w:val="44"/>
          <w:szCs w:val="20"/>
        </w:rPr>
      </w:pPr>
    </w:p>
    <w:p>
      <w:pPr>
        <w:jc w:val="center"/>
        <w:rPr>
          <w:rFonts w:ascii="Times New Roman" w:hAnsi="Times New Roman" w:eastAsia="文鼎大标宋简" w:cs="Times New Roman"/>
          <w:sz w:val="52"/>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湖南省高校思想政治工作名师工作室</w:t>
      </w:r>
    </w:p>
    <w:p>
      <w:pPr>
        <w:adjustRightInd w:val="0"/>
        <w:snapToGrid w:val="0"/>
        <w:spacing w:line="900" w:lineRule="atLeast"/>
        <w:jc w:val="center"/>
        <w:textAlignment w:val="baseline"/>
        <w:rPr>
          <w:rFonts w:ascii="Times New Roman" w:hAnsi="Times New Roman" w:eastAsia="文鼎大标宋简" w:cs="Times New Roman"/>
          <w:sz w:val="52"/>
        </w:rPr>
      </w:pPr>
      <w:r>
        <w:rPr>
          <w:rFonts w:ascii="Times New Roman" w:hAnsi="Times New Roman" w:eastAsia="方正小标宋简体" w:cs="Times New Roman"/>
          <w:kern w:val="0"/>
          <w:sz w:val="48"/>
          <w:szCs w:val="20"/>
        </w:rPr>
        <w:t>建设项目申报书</w:t>
      </w: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cs="Times New Roman"/>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w:t>
      </w:r>
      <w:r>
        <w:rPr>
          <w:rFonts w:hint="eastAsia" w:ascii="Times New Roman" w:hAnsi="Times New Roman" w:eastAsia="楷体" w:cs="Times New Roman"/>
          <w:sz w:val="28"/>
          <w:szCs w:val="28"/>
        </w:rPr>
        <w:t>21</w:t>
      </w:r>
      <w:r>
        <w:rPr>
          <w:rFonts w:ascii="Times New Roman" w:hAnsi="Times New Roman" w:eastAsia="楷体" w:cs="Times New Roman"/>
          <w:sz w:val="28"/>
          <w:szCs w:val="28"/>
        </w:rPr>
        <w:t>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spacing w:line="560" w:lineRule="exact"/>
        <w:ind w:firstLine="560" w:firstLineChars="200"/>
        <w:rPr>
          <w:rFonts w:ascii="Times New Roman" w:hAnsi="Times New Roman" w:eastAsia="楷体" w:cs="Times New Roman"/>
          <w:sz w:val="28"/>
          <w:szCs w:val="28"/>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一、基本情况</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84"/>
        <w:gridCol w:w="360"/>
        <w:gridCol w:w="991"/>
        <w:gridCol w:w="1701"/>
        <w:gridCol w:w="729"/>
        <w:gridCol w:w="729"/>
        <w:gridCol w:w="182"/>
        <w:gridCol w:w="72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8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w:t>
            </w:r>
          </w:p>
          <w:p>
            <w:pPr>
              <w:snapToGrid w:val="0"/>
              <w:jc w:val="center"/>
              <w:rPr>
                <w:rFonts w:ascii="Times New Roman" w:hAnsi="Times New Roman" w:cs="Times New Roman"/>
                <w:sz w:val="24"/>
              </w:rPr>
            </w:pPr>
            <w:r>
              <w:rPr>
                <w:rFonts w:ascii="Times New Roman" w:hAnsi="Times New Roman" w:cs="Times New Roman"/>
                <w:sz w:val="24"/>
              </w:rPr>
              <w:t>思政课教学时间</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692"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26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近五年讲授思想政治理论课情况(思政课教师填写)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7" w:type="dxa"/>
            <w:gridSpan w:val="3"/>
            <w:vAlign w:val="center"/>
          </w:tcPr>
          <w:p>
            <w:pPr>
              <w:snapToGrid w:val="0"/>
              <w:jc w:val="center"/>
              <w:rPr>
                <w:rFonts w:ascii="Times New Roman" w:hAnsi="Times New Roman" w:cs="Times New Roman"/>
                <w:b/>
                <w:sz w:val="24"/>
              </w:rPr>
            </w:pPr>
            <w:r>
              <w:rPr>
                <w:rFonts w:ascii="Times New Roman" w:hAnsi="Times New Roman" w:cs="Times New Roman"/>
                <w:sz w:val="24"/>
              </w:rPr>
              <w:t>课程名称</w:t>
            </w:r>
          </w:p>
        </w:tc>
        <w:tc>
          <w:tcPr>
            <w:tcW w:w="2692" w:type="dxa"/>
            <w:gridSpan w:val="2"/>
            <w:vAlign w:val="center"/>
          </w:tcPr>
          <w:p>
            <w:pPr>
              <w:snapToGrid w:val="0"/>
              <w:jc w:val="center"/>
              <w:rPr>
                <w:rFonts w:ascii="Times New Roman" w:hAnsi="Times New Roman" w:cs="Times New Roman"/>
                <w:sz w:val="24"/>
              </w:rPr>
            </w:pPr>
            <w:r>
              <w:rPr>
                <w:rFonts w:ascii="Times New Roman" w:hAnsi="Times New Roman" w:cs="Times New Roman"/>
                <w:sz w:val="24"/>
              </w:rPr>
              <w:t>授课时间</w:t>
            </w:r>
          </w:p>
        </w:tc>
        <w:tc>
          <w:tcPr>
            <w:tcW w:w="3260" w:type="dxa"/>
            <w:gridSpan w:val="5"/>
            <w:vAlign w:val="center"/>
          </w:tcPr>
          <w:p>
            <w:pPr>
              <w:snapToGrid w:val="0"/>
              <w:jc w:val="center"/>
              <w:rPr>
                <w:rFonts w:ascii="Times New Roman" w:hAnsi="Times New Roman" w:cs="Times New Roman"/>
                <w:sz w:val="24"/>
              </w:rPr>
            </w:pPr>
            <w:r>
              <w:rPr>
                <w:rFonts w:ascii="Times New Roman" w:hAnsi="Times New Roman" w:cs="Times New Roman"/>
                <w:sz w:val="24"/>
              </w:rPr>
              <w:t>教学评价（说明学生评教</w:t>
            </w:r>
          </w:p>
          <w:p>
            <w:pPr>
              <w:snapToGrid w:val="0"/>
              <w:jc w:val="center"/>
              <w:rPr>
                <w:rFonts w:ascii="Times New Roman" w:hAnsi="Times New Roman" w:cs="Times New Roman"/>
                <w:sz w:val="24"/>
              </w:rPr>
            </w:pPr>
            <w:r>
              <w:rPr>
                <w:rFonts w:ascii="Times New Roman" w:hAnsi="Times New Roman" w:cs="Times New Roman"/>
                <w:sz w:val="24"/>
              </w:rPr>
              <w:t>名次或满意率）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二、工作室团队成员情况</w:t>
      </w:r>
    </w:p>
    <w:tbl>
      <w:tblPr>
        <w:tblStyle w:val="15"/>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397"/>
        <w:gridCol w:w="1090"/>
        <w:gridCol w:w="21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jc w:val="center"/>
              <w:rPr>
                <w:rFonts w:ascii="Times New Roman" w:hAnsi="Times New Roman" w:cs="Times New Roman"/>
                <w:sz w:val="24"/>
              </w:rPr>
            </w:pPr>
            <w:r>
              <w:rPr>
                <w:rFonts w:ascii="Times New Roman" w:hAnsi="Times New Roman" w:cs="Times New Roman"/>
                <w:sz w:val="24"/>
              </w:rPr>
              <w:t>职务/职称</w:t>
            </w:r>
          </w:p>
        </w:tc>
        <w:tc>
          <w:tcPr>
            <w:tcW w:w="1397" w:type="dxa"/>
            <w:vAlign w:val="center"/>
          </w:tcPr>
          <w:p>
            <w:pPr>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jc w:val="center"/>
              <w:rPr>
                <w:rFonts w:ascii="Times New Roman" w:hAnsi="Times New Roman" w:cs="Times New Roman"/>
                <w:sz w:val="24"/>
              </w:rPr>
            </w:pPr>
            <w:r>
              <w:rPr>
                <w:rFonts w:ascii="Times New Roman" w:hAnsi="Times New Roman" w:cs="Times New Roman"/>
                <w:sz w:val="24"/>
              </w:rPr>
              <w:t>专业</w:t>
            </w:r>
          </w:p>
        </w:tc>
        <w:tc>
          <w:tcPr>
            <w:tcW w:w="217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1559" w:type="dxa"/>
            <w:vAlign w:val="center"/>
          </w:tcPr>
          <w:p>
            <w:pPr>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bl>
    <w:p>
      <w:pPr>
        <w:numPr>
          <w:ilvl w:val="12"/>
          <w:numId w:val="0"/>
        </w:numPr>
        <w:snapToGrid w:val="0"/>
        <w:rPr>
          <w:rFonts w:ascii="Times New Roman" w:hAnsi="Times New Roman" w:eastAsia="黑体" w:cs="Times New Roman"/>
          <w:bCs/>
          <w:sz w:val="28"/>
          <w:szCs w:val="28"/>
        </w:rPr>
      </w:pPr>
      <w:r>
        <w:rPr>
          <w:rFonts w:ascii="Times New Roman" w:hAnsi="Times New Roman" w:eastAsia="仿宋_GB2312" w:cs="Times New Roman"/>
        </w:rPr>
        <w:t>注：团队成员总数及每类成员人数可根据需要自行调整。</w:t>
      </w:r>
    </w:p>
    <w:p>
      <w:pPr>
        <w:numPr>
          <w:ilvl w:val="12"/>
          <w:numId w:val="0"/>
        </w:numPr>
        <w:snapToGrid w:val="0"/>
        <w:rPr>
          <w:rFonts w:ascii="Times New Roman" w:hAnsi="Times New Roman" w:eastAsia="黑体" w:cs="Times New Roman"/>
          <w:sz w:val="24"/>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3-1近五年获奖励情况</w:t>
      </w:r>
    </w:p>
    <w:p>
      <w:pPr>
        <w:snapToGrid w:val="0"/>
        <w:rPr>
          <w:rFonts w:ascii="Times New Roman" w:hAnsi="Times New Roman" w:cs="Times New Roman"/>
          <w:b/>
          <w:sz w:val="24"/>
        </w:rPr>
      </w:pPr>
      <w:r>
        <w:rPr>
          <w:rFonts w:ascii="Times New Roman" w:hAnsi="Times New Roman" w:eastAsia="楷体_GB2312" w:cs="Times New Roman"/>
          <w:b/>
        </w:rPr>
        <w:t>（注：获奖名称请写明全称。）</w:t>
      </w:r>
    </w:p>
    <w:tbl>
      <w:tblPr>
        <w:tblStyle w:val="15"/>
        <w:tblW w:w="52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741"/>
        <w:gridCol w:w="3350"/>
        <w:gridCol w:w="1164"/>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51" w:type="pct"/>
            <w:vAlign w:val="center"/>
          </w:tcPr>
          <w:p>
            <w:pPr>
              <w:snapToGrid w:val="0"/>
              <w:jc w:val="center"/>
              <w:rPr>
                <w:rFonts w:ascii="Times New Roman" w:hAnsi="Times New Roman" w:cs="Times New Roman"/>
                <w:sz w:val="24"/>
              </w:rPr>
            </w:pPr>
            <w:r>
              <w:rPr>
                <w:rFonts w:ascii="Times New Roman" w:hAnsi="Times New Roman" w:cs="Times New Roman"/>
                <w:sz w:val="24"/>
              </w:rPr>
              <w:t>获奖名称</w:t>
            </w:r>
          </w:p>
        </w:tc>
        <w:tc>
          <w:tcPr>
            <w:tcW w:w="1773" w:type="pct"/>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616"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69" w:type="pct"/>
            <w:vAlign w:val="center"/>
          </w:tcPr>
          <w:p>
            <w:pPr>
              <w:snapToGrid w:val="0"/>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15"/>
        <w:tblW w:w="51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779"/>
        <w:gridCol w:w="3298"/>
        <w:gridCol w:w="1172"/>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77"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753"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2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48"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15"/>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827"/>
        <w:gridCol w:w="3379"/>
        <w:gridCol w:w="120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07"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01"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641"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42"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3-4近五年主持的工作和科研项目立项情况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15"/>
        <w:tblW w:w="51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407"/>
        <w:gridCol w:w="2506"/>
        <w:gridCol w:w="929"/>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812"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333"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494"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51"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四、工作特色及成效简介</w:t>
      </w:r>
    </w:p>
    <w:tbl>
      <w:tblPr>
        <w:tblStyle w:val="1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3" w:type="dxa"/>
            <w:tcBorders>
              <w:top w:val="single" w:color="auto" w:sz="4" w:space="0"/>
              <w:left w:val="single" w:color="auto" w:sz="4" w:space="0"/>
              <w:right w:val="single" w:color="auto" w:sz="4" w:space="0"/>
            </w:tcBorders>
          </w:tcPr>
          <w:p>
            <w:pPr>
              <w:snapToGrid w:val="0"/>
              <w:rPr>
                <w:rFonts w:ascii="Times New Roman" w:hAnsi="Times New Roman" w:cs="Times New Roman"/>
                <w:sz w:val="24"/>
              </w:rPr>
            </w:pPr>
            <w:r>
              <w:rPr>
                <w:rFonts w:ascii="Times New Roman" w:hAnsi="Times New Roman" w:cs="Times New Roman"/>
                <w:sz w:val="24"/>
              </w:rPr>
              <w:t>（不超过1000字）</w:t>
            </w:r>
          </w:p>
          <w:p>
            <w:pPr>
              <w:snapToGrid w:val="0"/>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五、工作室规划</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包括工作室建设目标，开展理论宣讲、高水平团队建设、青年教师培育、学术研究和示范引领等方面的规划及预期成效。（限1500字以内）</w:t>
            </w:r>
          </w:p>
          <w:p>
            <w:pPr>
              <w:spacing w:line="150" w:lineRule="atLeast"/>
              <w:rPr>
                <w:rFonts w:ascii="Times New Roman" w:hAnsi="Times New Roman" w:cs="Times New Roman"/>
                <w:b/>
                <w:sz w:val="24"/>
              </w:rPr>
            </w:pP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六、推荐意见</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r>
              <w:rPr>
                <w:rFonts w:ascii="Times New Roman" w:hAnsi="Times New Roman" w:cs="Times New Roman"/>
                <w:b/>
                <w:sz w:val="24"/>
              </w:rPr>
              <w:t>　　　　　　　　　　　　　　　　　　　　　　签字盖章：</w:t>
            </w:r>
          </w:p>
          <w:p>
            <w:pPr>
              <w:snapToGrid w:val="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pgSz w:w="11906" w:h="16838"/>
          <w:pgMar w:top="2098" w:right="1474" w:bottom="1985" w:left="1588" w:header="851" w:footer="1588" w:gutter="0"/>
          <w:cols w:space="425" w:num="1"/>
          <w:docGrid w:type="lines" w:linePitch="312" w:charSpace="0"/>
        </w:sectPr>
      </w:pPr>
    </w:p>
    <w:p>
      <w:pPr>
        <w:widowControl/>
        <w:jc w:val="center"/>
        <w:rPr>
          <w:rFonts w:ascii="方正小标宋_GBK" w:hAnsi="Times New Roman" w:eastAsia="方正小标宋_GBK" w:cs="Times New Roman"/>
          <w:kern w:val="0"/>
          <w:sz w:val="44"/>
          <w:szCs w:val="44"/>
        </w:rPr>
      </w:pPr>
      <w:bookmarkStart w:id="6" w:name="_Hlk8644419"/>
      <w:r>
        <w:rPr>
          <w:rFonts w:hint="eastAsia" w:ascii="方正小标宋_GBK" w:hAnsi="Times New Roman" w:eastAsia="方正小标宋_GBK" w:cs="Times New Roman"/>
          <w:kern w:val="0"/>
          <w:sz w:val="44"/>
          <w:szCs w:val="44"/>
        </w:rPr>
        <w:t>湖南省高校优秀思想政治工作者项目汇总表</w:t>
      </w:r>
    </w:p>
    <w:p>
      <w:pPr>
        <w:widowControl/>
        <w:jc w:val="center"/>
        <w:rPr>
          <w:rFonts w:ascii="Times New Roman" w:hAnsi="Times New Roman" w:eastAsia="方正小标宋_GBK" w:cs="Times New Roman"/>
          <w:sz w:val="44"/>
          <w:szCs w:val="44"/>
        </w:rPr>
      </w:pPr>
    </w:p>
    <w:tbl>
      <w:tblPr>
        <w:tblStyle w:val="16"/>
        <w:tblW w:w="15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430"/>
        <w:gridCol w:w="3260"/>
        <w:gridCol w:w="993"/>
        <w:gridCol w:w="2126"/>
        <w:gridCol w:w="1070"/>
        <w:gridCol w:w="946"/>
        <w:gridCol w:w="1703"/>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426"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序号</w:t>
            </w:r>
          </w:p>
        </w:tc>
        <w:tc>
          <w:tcPr>
            <w:tcW w:w="2139"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学校</w:t>
            </w:r>
          </w:p>
        </w:tc>
        <w:tc>
          <w:tcPr>
            <w:tcW w:w="1430"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申报类型</w:t>
            </w:r>
          </w:p>
        </w:tc>
        <w:tc>
          <w:tcPr>
            <w:tcW w:w="3260" w:type="dxa"/>
            <w:vAlign w:val="center"/>
          </w:tcPr>
          <w:p>
            <w:pPr>
              <w:widowControl/>
              <w:jc w:val="center"/>
              <w:rPr>
                <w:rFonts w:ascii="黑体" w:hAnsi="黑体" w:eastAsia="黑体" w:cs="Times New Roman"/>
                <w:kern w:val="0"/>
                <w:sz w:val="20"/>
                <w:szCs w:val="21"/>
              </w:rPr>
            </w:pPr>
            <w:r>
              <w:rPr>
                <w:rFonts w:hint="eastAsia" w:ascii="黑体" w:hAnsi="黑体" w:eastAsia="黑体" w:cs="Times New Roman"/>
                <w:kern w:val="0"/>
                <w:sz w:val="20"/>
                <w:szCs w:val="21"/>
              </w:rPr>
              <w:t>身份类型</w:t>
            </w:r>
          </w:p>
        </w:tc>
        <w:tc>
          <w:tcPr>
            <w:tcW w:w="993"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申请人</w:t>
            </w:r>
          </w:p>
        </w:tc>
        <w:tc>
          <w:tcPr>
            <w:tcW w:w="2126"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现任职务</w:t>
            </w:r>
          </w:p>
        </w:tc>
        <w:tc>
          <w:tcPr>
            <w:tcW w:w="1070"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最后学位</w:t>
            </w:r>
          </w:p>
        </w:tc>
        <w:tc>
          <w:tcPr>
            <w:tcW w:w="946"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职称</w:t>
            </w:r>
          </w:p>
        </w:tc>
        <w:tc>
          <w:tcPr>
            <w:tcW w:w="1703"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工作及研究方向</w:t>
            </w:r>
          </w:p>
        </w:tc>
        <w:tc>
          <w:tcPr>
            <w:tcW w:w="1899"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工作单位部门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2.申报类型填：中青年骨干或优秀团队或名师工作室；</w:t>
      </w:r>
    </w:p>
    <w:p>
      <w:pPr>
        <w:widowControl/>
        <w:ind w:left="718" w:leftChars="342"/>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3.身份类型填：思想政治理论课教师或辅导员（心理健康教育教师）或其他思想政治工作干部；</w:t>
      </w:r>
      <w:r>
        <w:rPr>
          <w:rFonts w:hint="eastAsia" w:ascii="仿宋_GB2312" w:hAnsi="Times New Roman" w:eastAsia="仿宋_GB2312" w:cs="Times New Roman"/>
          <w:sz w:val="24"/>
          <w:szCs w:val="24"/>
        </w:rPr>
        <w:cr/>
      </w:r>
      <w:r>
        <w:rPr>
          <w:rFonts w:hint="eastAsia" w:ascii="仿宋_GB2312" w:hAnsi="Times New Roman" w:eastAsia="仿宋_GB2312" w:cs="Times New Roman"/>
          <w:sz w:val="24"/>
          <w:szCs w:val="24"/>
        </w:rPr>
        <w:t>4.同一学校申报类型和身份均不得重复。</w:t>
      </w:r>
    </w:p>
    <w:p>
      <w:pPr>
        <w:widowControl/>
        <w:jc w:val="left"/>
        <w:rPr>
          <w:rFonts w:ascii="仿宋_GB2312" w:hAnsi="Times New Roman" w:eastAsia="仿宋_GB2312" w:cs="Times New Roman"/>
          <w:sz w:val="24"/>
          <w:szCs w:val="24"/>
        </w:rPr>
      </w:pPr>
    </w:p>
    <w:p>
      <w:pPr>
        <w:widowControl/>
        <w:jc w:val="left"/>
        <w:rPr>
          <w:rFonts w:ascii="Times New Roman" w:hAnsi="Times New Roman" w:eastAsia="方正小标宋_GBK" w:cs="Times New Roman"/>
          <w:bCs/>
          <w:kern w:val="36"/>
          <w:sz w:val="44"/>
          <w:szCs w:val="44"/>
        </w:rPr>
        <w:sectPr>
          <w:pgSz w:w="16838" w:h="11906" w:orient="landscape"/>
          <w:pgMar w:top="1474" w:right="1985" w:bottom="1588" w:left="2098" w:header="851" w:footer="1588" w:gutter="0"/>
          <w:cols w:space="425" w:num="1"/>
          <w:docGrid w:type="lines" w:linePitch="312" w:charSpace="0"/>
        </w:sectPr>
      </w:pPr>
      <w:r>
        <w:rPr>
          <w:rFonts w:ascii="Times New Roman" w:hAnsi="Times New Roman" w:eastAsia="方正小标宋_GBK" w:cs="Times New Roman"/>
          <w:bCs/>
          <w:kern w:val="36"/>
          <w:sz w:val="44"/>
          <w:szCs w:val="44"/>
        </w:rPr>
        <w:br w:type="page"/>
      </w:r>
    </w:p>
    <w:p>
      <w:pPr>
        <w:spacing w:line="570" w:lineRule="exact"/>
        <w:contextualSpacing/>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湖南省高校思想政治工作骨干队伍</w:t>
      </w:r>
    </w:p>
    <w:p>
      <w:pPr>
        <w:spacing w:line="570" w:lineRule="exact"/>
        <w:contextualSpacing/>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建设项目管理办法（试行）</w:t>
      </w:r>
    </w:p>
    <w:bookmarkEnd w:id="6"/>
    <w:p>
      <w:pPr>
        <w:spacing w:line="570" w:lineRule="exact"/>
        <w:contextualSpacing/>
        <w:rPr>
          <w:rFonts w:ascii="Times New Roman" w:hAnsi="Times New Roman" w:eastAsia="仿宋_GB2312" w:cs="Times New Roman"/>
          <w:bCs/>
          <w:kern w:val="36"/>
          <w:sz w:val="32"/>
          <w:szCs w:val="32"/>
        </w:rPr>
      </w:pPr>
    </w:p>
    <w:p>
      <w:pPr>
        <w:pStyle w:val="34"/>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第一条  </w:t>
      </w:r>
      <w:r>
        <w:rPr>
          <w:rFonts w:ascii="Times New Roman" w:hAnsi="Times New Roman" w:eastAsia="仿宋_GB2312" w:cs="Times New Roman"/>
          <w:sz w:val="32"/>
          <w:szCs w:val="32"/>
        </w:rPr>
        <w:t>为深入学习贯彻习近平新时代中国特色社会主义思想，进一步把贯彻落实全国全省教育大会、全国全省高校思想政治工作会议、学校思想政治理论课教师座谈会会议精神引向深入，切实加强我省高校思想政治工作队伍建设，努力提升队伍的素质能力和工作质量，根据《关于实施湖南省高校思想政治工作质量提升工程的意见》等文件，制定本办法。</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高校思想政治工作骨干队伍建设项目是推动我省高校思想政治工作队伍建设的引领性工程，是落实“三全育人”综合改革试点省建设任务的重要举措，是湖南高层次人才培养支持体系的重要组成部分。</w:t>
      </w:r>
    </w:p>
    <w:p>
      <w:pPr>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高校思想政治工作骨干队伍建设项目旨在</w:t>
      </w:r>
      <w:r>
        <w:rPr>
          <w:rFonts w:ascii="Times New Roman" w:hAnsi="Times New Roman" w:eastAsia="仿宋_GB2312" w:cs="Times New Roman"/>
          <w:kern w:val="0"/>
          <w:sz w:val="32"/>
          <w:szCs w:val="32"/>
        </w:rPr>
        <w:t>鼓励和引导高校思想政治工作者注重理论水平和素质能力的提升，注重探索创新理论研究和实践工作模式，加强团队合作与集体攻关，培育一批具有强大发展后劲的中青年工作骨干、在全省乃至全国具有较大影响的创新团队和高水平的名家名师，牵头开展具有引领示范作用的典型工作。</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高校思想政治工作骨干队伍建设项目遵循强化政治引领、突出立德树人、坚持质量导向、公平公开公正的原则，坚持向改革倾斜、向一流倾斜、向一线倾斜、向青年倾斜，为提升我省高校思想政治工作提供坚强人才保障。</w:t>
      </w:r>
    </w:p>
    <w:p>
      <w:pPr>
        <w:pStyle w:val="34"/>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高校思想政治工作骨干队伍建设项目分为</w:t>
      </w:r>
      <w:r>
        <w:rPr>
          <w:rFonts w:ascii="Times New Roman" w:hAnsi="Times New Roman" w:eastAsia="仿宋_GB2312" w:cs="Times New Roman"/>
          <w:kern w:val="0"/>
          <w:sz w:val="32"/>
          <w:szCs w:val="32"/>
        </w:rPr>
        <w:t>高校思想政治工作中青年骨干建设项目、高校思想政治工作优秀团队建设项目、高校思想政治工作名师工作室建设项目等3个类别。</w:t>
      </w:r>
    </w:p>
    <w:p>
      <w:pPr>
        <w:pStyle w:val="34"/>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第六条  </w:t>
      </w:r>
      <w:r>
        <w:rPr>
          <w:rFonts w:ascii="Times New Roman" w:hAnsi="Times New Roman" w:eastAsia="仿宋_GB2312" w:cs="Times New Roman"/>
          <w:sz w:val="32"/>
          <w:szCs w:val="32"/>
        </w:rPr>
        <w:t>高校思想政治工作骨干队伍建设项目支持对象为湖南省高校思想政治工作队伍，具体包括高校思想政治理论课教师、辅导员和其他思想政治工作干部（含党政干部和共青团干部、班主任、</w:t>
      </w:r>
      <w:r>
        <w:rPr>
          <w:rFonts w:hint="eastAsia" w:ascii="Times New Roman" w:hAnsi="Times New Roman" w:eastAsia="仿宋_GB2312" w:cs="Times New Roman"/>
          <w:sz w:val="32"/>
          <w:szCs w:val="32"/>
        </w:rPr>
        <w:t>心理健康教育教师、</w:t>
      </w:r>
      <w:r>
        <w:rPr>
          <w:rFonts w:ascii="Times New Roman" w:hAnsi="Times New Roman" w:eastAsia="仿宋_GB2312" w:cs="Times New Roman"/>
          <w:sz w:val="32"/>
          <w:szCs w:val="32"/>
        </w:rPr>
        <w:t>网络文化建设管理干部等）。</w:t>
      </w:r>
    </w:p>
    <w:p>
      <w:pPr>
        <w:pStyle w:val="34"/>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第七条  </w:t>
      </w:r>
      <w:r>
        <w:rPr>
          <w:rFonts w:ascii="Times New Roman" w:hAnsi="Times New Roman" w:eastAsia="仿宋_GB2312" w:cs="Times New Roman"/>
          <w:sz w:val="32"/>
          <w:szCs w:val="32"/>
        </w:rPr>
        <w:t xml:space="preserve">高校思想政治工作骨干队伍建设项目建设周期为3年。省委教育工委、省教育厅对每个建设项目在高校“双一流”专项资金中给予支持，一次性拨付。项目所在高校要给予一定的政策、经费配套支持。项目作为省级教改项目，纳入高校教师的教学科研成果统计、职务（职称）评聘范围。 </w:t>
      </w:r>
    </w:p>
    <w:p>
      <w:pPr>
        <w:pStyle w:val="34"/>
        <w:spacing w:line="570" w:lineRule="exact"/>
        <w:ind w:firstLine="640"/>
        <w:contextualSpacing/>
        <w:rPr>
          <w:rFonts w:ascii="Times New Roman" w:hAnsi="Times New Roman" w:eastAsia="仿宋_GB2312" w:cs="Times New Roman"/>
          <w:kern w:val="0"/>
          <w:sz w:val="32"/>
          <w:szCs w:val="32"/>
        </w:rPr>
      </w:pPr>
    </w:p>
    <w:p>
      <w:pPr>
        <w:pStyle w:val="34"/>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基本条件</w:t>
      </w:r>
    </w:p>
    <w:p>
      <w:pPr>
        <w:pStyle w:val="34"/>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第八条  </w:t>
      </w:r>
      <w:r>
        <w:rPr>
          <w:rFonts w:ascii="Times New Roman" w:hAnsi="Times New Roman" w:eastAsia="仿宋_GB2312" w:cs="Times New Roman"/>
          <w:kern w:val="0"/>
          <w:sz w:val="32"/>
          <w:szCs w:val="32"/>
        </w:rPr>
        <w:t>高校思想政治工作骨干队伍建设项目支持对象基本条件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(一)政治素质过硬。忠于祖国，忠于人民，拥护中国共产党的领导。牢固树立“四个意识”，坚定“四个自信”，做到“两个维护”。贯</w:t>
      </w:r>
      <w:r>
        <w:rPr>
          <w:rFonts w:ascii="Times New Roman" w:hAnsi="Times New Roman" w:eastAsia="仿宋_GB2312" w:cs="Times New Roman"/>
          <w:spacing w:val="-6"/>
          <w:kern w:val="0"/>
          <w:sz w:val="32"/>
          <w:szCs w:val="32"/>
        </w:rPr>
        <w:t>彻党的教育方针，忠诚党的教育事业，坚持立德树人，为人师表</w:t>
      </w:r>
      <w:r>
        <w:rPr>
          <w:rFonts w:ascii="Times New Roman" w:hAnsi="Times New Roman" w:eastAsia="仿宋_GB2312" w:cs="Times New Roman"/>
          <w:kern w:val="0"/>
          <w:sz w:val="32"/>
          <w:szCs w:val="32"/>
        </w:rPr>
        <w:t>。</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(三)道德情操高尚。恪守高校教师师德行为规范、学术道德规范等职业道德规范。工作务实，作风民主，公平公正，生活正派，情趣健康，为人清正廉洁，在师生中有广泛的认可。</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工作实效显著。长期从事高校一线思想政治工作，在思政课教学、制度体系建设、工作项目设计、内容形式拓展、手段载体丰富、方法路径创新等方面取得突出成绩。创造了具有引领示范作用的典型做法和经验，育人成效明显。</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第九条</w:t>
      </w:r>
      <w:r>
        <w:rPr>
          <w:rFonts w:ascii="Times New Roman" w:hAnsi="Times New Roman" w:eastAsia="仿宋_GB2312" w:cs="Times New Roman"/>
          <w:kern w:val="0"/>
          <w:sz w:val="32"/>
          <w:szCs w:val="32"/>
        </w:rPr>
        <w:t xml:space="preserve">  高校思想政治工作中青年骨干建设项目支持对象基本条件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(一)一般应具有博士学位或副高及以上职称。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(二)创新发展潜力大，有较强的团队领导和组织协调能力，具有在本学科或工作领域赶超或保持省内先进水平的能力。</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(三)专职从事高校思政工作或担任专职思政课教师满3年。截至申报当年1月1日，年龄不超过45周岁。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第十条  </w:t>
      </w:r>
      <w:r>
        <w:rPr>
          <w:rFonts w:ascii="Times New Roman" w:hAnsi="Times New Roman" w:eastAsia="仿宋_GB2312" w:cs="Times New Roman"/>
          <w:kern w:val="0"/>
          <w:sz w:val="32"/>
          <w:szCs w:val="32"/>
        </w:rPr>
        <w:t>高校思想政治工作优秀团队建设项目支持对象团队负责人基本条件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(一)一般应具有博士学位或副高及以上职称。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(二)工作创新性强，具有带领本学科或工作领域赶超或保持省内先进水平的能力，在团队成员专业发展和后备人才培养方面，发挥突出作用。</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(三)专职从事高校思政工作或思政课教学满5年。截至申报当年1月1日，年龄不超过50周岁。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kern w:val="0"/>
          <w:sz w:val="32"/>
          <w:szCs w:val="32"/>
        </w:rPr>
        <w:t xml:space="preserve">  高校思想政治工作名师工作室支持的工作室主持人基本条件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(一)具有正高职称。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(二)学术造诣高深，工作实绩或教学科研成就获得国内同行公认；具有带领本学科或工作领域赶超或保持国内先进水平的能力。</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(三)专职从事高校思政工作或思政课教学满10年。截至申报当年1月1日，原则上年龄不超过57周岁。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p>
    <w:p>
      <w:pPr>
        <w:pStyle w:val="34"/>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kern w:val="0"/>
          <w:sz w:val="32"/>
          <w:szCs w:val="32"/>
        </w:rPr>
        <w:t xml:space="preserve">  高校思想政治工作中青年骨干建设项目支持对象主要职责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理论宣讲。围绕习近平新时代中国特色社会主义思想和党的十九大精神开展理论宣讲，定期到高校开展理论宣讲。</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(二)</w:t>
      </w:r>
      <w:r>
        <w:rPr>
          <w:rFonts w:ascii="Times New Roman" w:hAnsi="Times New Roman" w:eastAsia="仿宋_GB2312" w:cs="Times New Roman"/>
          <w:sz w:val="32"/>
          <w:szCs w:val="32"/>
        </w:rPr>
        <w:t>实践创新。围绕高校思政工作领域的重点难点问题实践探索，不断创新方法、手段和载体，形成先进经验和典型做法。定期举办高校思政工作热点难点问题、前沿性规律性问题或教学重点难点问题工作研讨。</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sz w:val="32"/>
          <w:szCs w:val="32"/>
        </w:rPr>
        <w:t>(三)成果转化。发表高水平研究论文或教改论文，编写著作或教辅参考书。牵头开展具有引领示范作用的典型工作</w:t>
      </w:r>
      <w:r>
        <w:rPr>
          <w:rFonts w:ascii="Times New Roman" w:hAnsi="Times New Roman" w:eastAsia="仿宋_GB2312" w:cs="Times New Roman"/>
          <w:kern w:val="0"/>
          <w:sz w:val="32"/>
          <w:szCs w:val="32"/>
        </w:rPr>
        <w:t>，取得突出成效的育人载体及活动。</w:t>
      </w:r>
      <w:r>
        <w:rPr>
          <w:rFonts w:ascii="Times New Roman" w:hAnsi="Times New Roman" w:eastAsia="仿宋_GB2312" w:cs="Times New Roman"/>
          <w:sz w:val="32"/>
          <w:szCs w:val="32"/>
        </w:rPr>
        <w:t>获支持的思政课教师定期提交思政课教学改革研究报告或政策咨询报告。获支持的思政工作干部定期提交高校思政工作重点难点问题研究报告或政策咨询报告。</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kern w:val="0"/>
          <w:sz w:val="32"/>
          <w:szCs w:val="32"/>
        </w:rPr>
        <w:t xml:space="preserve">  高校思想政治工作优秀团队建设项目支持对象主要职责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理论宣讲。围绕习近平新时代中国特色社会主义思想和党的十九大精神，定期到高校开展理论宣讲。</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(二)团队建设。建立协作机制，组织开展集体攻关和联合研究，制定团队成员培养方案，培育具有良好发展潜力、实践创新能力或教学科研能力的后备力量。</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实践创新。获支持的思政课教师团队要组织力量对思政课重点难点问题进行教学研究，改革教学方法，创新教学模式，着力打造思政“金课”。获支持的思政工作干部团队要结合高校思政工作领域的重点难点热点问题开展实践探索，不断创新方法、手段和载体，形成高校思政工作的先进经验和典型做法，发挥示范效应。</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(四)工作</w:t>
      </w:r>
      <w:r>
        <w:rPr>
          <w:rFonts w:ascii="Times New Roman" w:hAnsi="Times New Roman" w:eastAsia="仿宋_GB2312" w:cs="Times New Roman"/>
          <w:kern w:val="0"/>
          <w:sz w:val="32"/>
          <w:szCs w:val="32"/>
        </w:rPr>
        <w:t>研究。结合项目选题，围绕思想政治教育工作实践问题、学科前沿和热点难点问题开展研究，</w:t>
      </w:r>
      <w:r>
        <w:rPr>
          <w:rFonts w:ascii="Times New Roman" w:hAnsi="Times New Roman" w:eastAsia="仿宋_GB2312" w:cs="Times New Roman"/>
          <w:sz w:val="32"/>
          <w:szCs w:val="32"/>
        </w:rPr>
        <w:t>推动马克思主义中国化理论创新，提高思想政治工作科学化水平。获支持的思政课教师团队还要开展思政理论课建设研究，推出高水平的思治课教学研究成果。</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(五)成果转化。定期提交高校思政工作和思政课教学重点难点热点问题工作研究报告或政策咨询报告，组织前沿性规律性问题工作研讨，发表文章、出版著作或编写通俗理论读物。</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kern w:val="0"/>
          <w:sz w:val="32"/>
          <w:szCs w:val="32"/>
        </w:rPr>
        <w:t xml:space="preserve">  高校思想政治工作名师工作室建设项目支持对象主要职责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理论宣讲。围绕习近平新时代中国特色社会主义思想和党的十九大精神开展理论宣讲，定期到高校开展理论宣讲。</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(二)组建高水平团队。在主持人的带领下，形成一支由5名以上中青年骨干教师构成的专业团队（可以跨学校、跨专业构成），围绕工作室既定的工作目标开展工作。</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(三)培育青年教师。研究制定工作室的工作计划和学员培训计划，积极吸收其他高校青年思政工作干部加入工作室进行研修，对</w:t>
      </w:r>
      <w:r>
        <w:rPr>
          <w:rFonts w:ascii="Times New Roman" w:hAnsi="Times New Roman" w:eastAsia="仿宋_GB2312" w:cs="Times New Roman"/>
          <w:bCs/>
          <w:spacing w:val="-6"/>
          <w:sz w:val="32"/>
          <w:szCs w:val="32"/>
        </w:rPr>
        <w:t>青年思政工作者实施全程指导。承担省委教育工委、省教育厅委托的思政课教师和辅导员的上岗、教学、科研、实践等培训任务</w:t>
      </w:r>
      <w:r>
        <w:rPr>
          <w:rFonts w:ascii="Times New Roman" w:hAnsi="Times New Roman" w:eastAsia="仿宋_GB2312" w:cs="Times New Roman"/>
          <w:bCs/>
          <w:sz w:val="32"/>
          <w:szCs w:val="32"/>
        </w:rPr>
        <w:t>。</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开展学术研究。以工作室主持人的专长为基础，集中工作室成员集体智慧，针对高校思政工作或思政课教学科研的热点难点问题进行专题研究。承担有关部门的委托课题，推出高质量的教学科研成果。发表高水平研究成果，出版著作读物。</w:t>
      </w:r>
    </w:p>
    <w:p>
      <w:pPr>
        <w:spacing w:line="55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加强示范引领。整合优质教学资源，及时总结先进教学科研经验或实践创新经验，并通过组织教学观摩、研讨会、现场推进会、巡回宣讲等形式加以宣传、推广。积极开展对外交流活动，提升在同行中的影响力和竞争力。</w:t>
      </w:r>
    </w:p>
    <w:p>
      <w:pPr>
        <w:pStyle w:val="34"/>
        <w:spacing w:line="550" w:lineRule="exact"/>
        <w:ind w:firstLine="640"/>
        <w:contextualSpacing/>
        <w:rPr>
          <w:rFonts w:ascii="Times New Roman" w:hAnsi="Times New Roman" w:eastAsia="仿宋_GB2312" w:cs="Times New Roman"/>
          <w:bCs/>
          <w:sz w:val="32"/>
          <w:szCs w:val="32"/>
        </w:rPr>
      </w:pPr>
    </w:p>
    <w:p>
      <w:pPr>
        <w:pStyle w:val="34"/>
        <w:spacing w:line="55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第四章  遴选程序</w:t>
      </w:r>
    </w:p>
    <w:p>
      <w:pPr>
        <w:pStyle w:val="34"/>
        <w:spacing w:line="55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rPr>
        <w:t>省委教育工委、省教育厅统一部署</w:t>
      </w:r>
      <w:r>
        <w:rPr>
          <w:rFonts w:ascii="Times New Roman" w:hAnsi="Times New Roman" w:eastAsia="仿宋_GB2312" w:cs="Times New Roman"/>
          <w:kern w:val="0"/>
          <w:sz w:val="32"/>
          <w:szCs w:val="32"/>
        </w:rPr>
        <w:t>高校思想政治工</w:t>
      </w:r>
      <w:r>
        <w:rPr>
          <w:rFonts w:ascii="Times New Roman" w:hAnsi="Times New Roman" w:eastAsia="仿宋_GB2312" w:cs="Times New Roman"/>
          <w:spacing w:val="-6"/>
          <w:kern w:val="0"/>
          <w:sz w:val="32"/>
          <w:szCs w:val="32"/>
        </w:rPr>
        <w:t>作骨干队伍建设项目</w:t>
      </w:r>
      <w:r>
        <w:rPr>
          <w:rFonts w:ascii="Times New Roman" w:hAnsi="Times New Roman" w:eastAsia="仿宋_GB2312" w:cs="Times New Roman"/>
          <w:spacing w:val="-6"/>
          <w:sz w:val="32"/>
          <w:szCs w:val="32"/>
        </w:rPr>
        <w:t>遴选工作，实行限额申报，各高校直接申报</w:t>
      </w:r>
      <w:r>
        <w:rPr>
          <w:rFonts w:ascii="Times New Roman" w:hAnsi="Times New Roman" w:eastAsia="仿宋_GB2312" w:cs="Times New Roman"/>
          <w:sz w:val="32"/>
          <w:szCs w:val="32"/>
        </w:rPr>
        <w:t>。</w:t>
      </w:r>
    </w:p>
    <w:p>
      <w:pPr>
        <w:pStyle w:val="34"/>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rPr>
        <w:t>有关高等学校根据核定的申报名额、本办法规定的申报条件和本校实际情况进行遴选、推荐并提交申报书。学校党委应对申请人的育人工作能力进行评定，提出审核、推荐意见。</w:t>
      </w:r>
    </w:p>
    <w:p>
      <w:pPr>
        <w:pStyle w:val="34"/>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rPr>
        <w:t>拟推荐人选申报材料应当在校内公示一周。正式推荐人选中存在被实名举报的，高校党委经调查核实，不存在所举报问题的，应将有关举报材料及调查结论随推荐材料一并报送省委教育工委、省教育厅。</w:t>
      </w:r>
    </w:p>
    <w:p>
      <w:pPr>
        <w:pStyle w:val="34"/>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rPr>
        <w:t>省委教育工委、省教育厅组织</w:t>
      </w:r>
      <w:r>
        <w:rPr>
          <w:rFonts w:ascii="Times New Roman" w:hAnsi="Times New Roman" w:eastAsia="仿宋_GB2312" w:cs="Times New Roman"/>
          <w:kern w:val="0"/>
          <w:sz w:val="32"/>
          <w:szCs w:val="32"/>
        </w:rPr>
        <w:t>专家对申报材料进行评议，提出建议名单。</w:t>
      </w:r>
      <w:r>
        <w:rPr>
          <w:rFonts w:ascii="Times New Roman" w:hAnsi="Times New Roman" w:eastAsia="仿宋_GB2312" w:cs="Times New Roman"/>
          <w:sz w:val="32"/>
          <w:szCs w:val="32"/>
        </w:rPr>
        <w:t>省委教育工委、省教育厅对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w:t>
      </w:r>
      <w:r>
        <w:rPr>
          <w:rFonts w:ascii="Times New Roman" w:hAnsi="Times New Roman" w:eastAsia="仿宋_GB2312" w:cs="Times New Roman"/>
          <w:kern w:val="0"/>
          <w:sz w:val="32"/>
          <w:szCs w:val="32"/>
        </w:rPr>
        <w:t>高校思想政治工作骨干队伍各建设项目</w:t>
      </w:r>
      <w:r>
        <w:rPr>
          <w:rFonts w:ascii="Times New Roman" w:hAnsi="Times New Roman" w:eastAsia="仿宋_GB2312" w:cs="Times New Roman"/>
          <w:sz w:val="32"/>
          <w:szCs w:val="32"/>
        </w:rPr>
        <w:t>入选名单并进行公示。</w:t>
      </w:r>
    </w:p>
    <w:p>
      <w:pPr>
        <w:pStyle w:val="34"/>
        <w:spacing w:line="550" w:lineRule="exact"/>
        <w:ind w:firstLine="633" w:firstLineChars="198"/>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kern w:val="0"/>
          <w:sz w:val="32"/>
          <w:szCs w:val="32"/>
        </w:rPr>
        <w:t>在公示期间，建议人选被实名举报的，由推荐高校党委组织调查。调查结果报省委教育工委</w:t>
      </w:r>
      <w:r>
        <w:rPr>
          <w:rFonts w:ascii="Times New Roman" w:hAnsi="Times New Roman" w:eastAsia="仿宋_GB2312" w:cs="Times New Roman"/>
          <w:sz w:val="32"/>
          <w:szCs w:val="32"/>
        </w:rPr>
        <w:t>、省教育厅</w:t>
      </w:r>
      <w:r>
        <w:rPr>
          <w:rFonts w:ascii="Times New Roman" w:hAnsi="Times New Roman" w:eastAsia="仿宋_GB2312" w:cs="Times New Roman"/>
          <w:kern w:val="0"/>
          <w:sz w:val="32"/>
          <w:szCs w:val="32"/>
        </w:rPr>
        <w:t>审议。</w:t>
      </w:r>
    </w:p>
    <w:p>
      <w:pPr>
        <w:pStyle w:val="34"/>
        <w:spacing w:line="550" w:lineRule="exact"/>
        <w:ind w:firstLine="633" w:firstLineChars="198"/>
        <w:contextualSpacing/>
        <w:rPr>
          <w:rFonts w:ascii="Times New Roman" w:hAnsi="Times New Roman" w:eastAsia="仿宋_GB2312" w:cs="Times New Roman"/>
          <w:kern w:val="0"/>
          <w:sz w:val="32"/>
          <w:szCs w:val="32"/>
        </w:rPr>
      </w:pPr>
    </w:p>
    <w:p>
      <w:pPr>
        <w:pStyle w:val="34"/>
        <w:spacing w:line="55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管理考核</w:t>
      </w:r>
    </w:p>
    <w:p>
      <w:pPr>
        <w:spacing w:line="55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rPr>
        <w:t>培育支持期内，</w:t>
      </w:r>
      <w:r>
        <w:rPr>
          <w:rFonts w:ascii="Times New Roman" w:hAnsi="Times New Roman" w:eastAsia="仿宋_GB2312" w:cs="Times New Roman"/>
          <w:kern w:val="0"/>
          <w:sz w:val="32"/>
          <w:szCs w:val="32"/>
        </w:rPr>
        <w:t>支持对象</w:t>
      </w:r>
      <w:r>
        <w:rPr>
          <w:rFonts w:ascii="Times New Roman" w:hAnsi="Times New Roman" w:eastAsia="仿宋_GB2312" w:cs="Times New Roman"/>
          <w:sz w:val="32"/>
          <w:szCs w:val="32"/>
        </w:rPr>
        <w:t>每年6月30日前须提交《湖南省高校思想政治工作骨干队伍建设项目年度进展报告》，并附相关材料。结项考核量化标准如下：</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仿宋_GB2312" w:cs="Times New Roman"/>
          <w:kern w:val="0"/>
          <w:sz w:val="32"/>
          <w:szCs w:val="32"/>
        </w:rPr>
        <w:t>高校思想政治工作中青年骨干建设项目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2.牵头开展具有引领示范作用的典型工作1项。</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3.在全国中文核心期刊发表论文1篇，或编写著作或通俗理论读物1部。</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4.提交高校思想政治工作重点难点问题工作研究报告或政策咨询报告1份。</w:t>
      </w:r>
    </w:p>
    <w:p>
      <w:pPr>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kern w:val="0"/>
          <w:sz w:val="32"/>
          <w:szCs w:val="32"/>
        </w:rPr>
        <w:t>高校思想政治工作优秀团队建设项目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2.组织开展团队交流研讨活动不少于10次。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3.举办思政理论课教学经验交流会或思政工作研讨会1次。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4.牵头开展具有引领示范作用的典型工作1项，总结一套具有推广价值的工作模式和经验。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5.获得省部级荣誉或研究项目1项；在全国中文核心期刊发表研究文章3篇，或出版著作或通俗读物1部。</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6.提交高校思想政治工作重点难点热点问题工作研究报告或政策咨询报告1份。</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kern w:val="0"/>
          <w:sz w:val="32"/>
          <w:szCs w:val="32"/>
        </w:rPr>
        <w:t>高校思想政治工作名师工作室建设项目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2.培养副高及以上职称青年思政工作者3人。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3.举办思政理论课教学经验交流会或思政工作研讨会1次。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4.牵头开展具有引领示范作用的典型工作1项，总结一套具有推广价值的工作模式和经验。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5.获得国家级荣誉或科研课题1项；在全国中文核心期刊发表论文5篇，或出版学术著作或教材1本。</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6.提交高校思想政治工作重点难点热点问题工作研究报告或政策咨询报告1份。</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省委教育工委、省教育厅组织专家对支持对象的工作进展情况进行年度考核，年度考核采取审核报告的方式进行。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本计划支持的对象发表出版的论文、专著等理论研究成果，均应注明“湖南省高校思想政治工作专项资金资助”字样。</w:t>
      </w:r>
    </w:p>
    <w:p>
      <w:pPr>
        <w:spacing w:line="570" w:lineRule="exact"/>
        <w:ind w:firstLine="601" w:firstLineChars="18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支持期结束，省委教育工委、省教育厅将组织专家进行结项考核。获支持者须提交《湖南省高校思想政治工作骨干队伍建设项目总结报告》，并附相关支撑材料，包括工作成效、典型案例、研究报告、系列论文等。</w:t>
      </w:r>
    </w:p>
    <w:p>
      <w:pPr>
        <w:spacing w:line="570" w:lineRule="exact"/>
        <w:contextualSpacing/>
        <w:rPr>
          <w:rFonts w:ascii="Times New Roman" w:hAnsi="Times New Roman" w:eastAsia="仿宋_GB2312" w:cs="Times New Roman"/>
          <w:sz w:val="32"/>
          <w:szCs w:val="32"/>
        </w:rPr>
      </w:pPr>
    </w:p>
    <w:p>
      <w:pPr>
        <w:spacing w:line="570" w:lineRule="exact"/>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附则</w:t>
      </w:r>
    </w:p>
    <w:p>
      <w:pPr>
        <w:spacing w:line="570" w:lineRule="exact"/>
        <w:ind w:firstLine="598" w:firstLineChars="187"/>
        <w:contextualSpacing/>
        <w:rPr>
          <w:rFonts w:ascii="Times New Roman" w:hAnsi="Times New Roman" w:eastAsia="仿宋_GB2312" w:cs="Times New Roman"/>
          <w:sz w:val="32"/>
          <w:szCs w:val="32"/>
        </w:rPr>
      </w:pPr>
      <w:r>
        <w:rPr>
          <w:rFonts w:ascii="Times New Roman" w:hAnsi="Times New Roman" w:eastAsia="黑体" w:cs="Times New Roman"/>
          <w:bCs/>
          <w:sz w:val="32"/>
          <w:szCs w:val="32"/>
        </w:rPr>
        <w:t xml:space="preserve">第二十四条  </w:t>
      </w:r>
      <w:r>
        <w:rPr>
          <w:rFonts w:ascii="Times New Roman" w:hAnsi="Times New Roman" w:eastAsia="仿宋_GB2312" w:cs="Times New Roman"/>
          <w:sz w:val="32"/>
          <w:szCs w:val="32"/>
        </w:rPr>
        <w:t>本办法由省委教育工委、省教育厅负责解释。</w:t>
      </w:r>
    </w:p>
    <w:p>
      <w:pPr>
        <w:spacing w:line="570" w:lineRule="exact"/>
        <w:ind w:firstLine="598" w:firstLineChars="187"/>
        <w:contextualSpacing/>
        <w:rPr>
          <w:rFonts w:ascii="Times New Roman" w:hAnsi="Times New Roman" w:eastAsia="仿宋_GB2312" w:cs="Times New Roman"/>
          <w:sz w:val="32"/>
          <w:szCs w:val="32"/>
        </w:rPr>
      </w:pPr>
      <w:r>
        <w:rPr>
          <w:rFonts w:ascii="Times New Roman" w:hAnsi="Times New Roman" w:eastAsia="黑体" w:cs="Times New Roman"/>
          <w:bCs/>
          <w:sz w:val="32"/>
          <w:szCs w:val="32"/>
        </w:rPr>
        <w:t xml:space="preserve">第二十五条  </w:t>
      </w:r>
      <w:r>
        <w:rPr>
          <w:rFonts w:ascii="Times New Roman" w:hAnsi="Times New Roman" w:eastAsia="仿宋_GB2312" w:cs="Times New Roman"/>
          <w:sz w:val="32"/>
          <w:szCs w:val="32"/>
        </w:rPr>
        <w:t>本办法自发布之日起施行。</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加强新时代高校学生</w:t>
      </w:r>
    </w:p>
    <w:p>
      <w:pPr>
        <w:adjustRightInd w:val="0"/>
        <w:snapToGrid w:val="0"/>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心理健康教育工作的实施办法</w:t>
      </w:r>
    </w:p>
    <w:p>
      <w:pPr>
        <w:adjustRightInd w:val="0"/>
        <w:snapToGrid w:val="0"/>
        <w:spacing w:line="600" w:lineRule="exact"/>
        <w:rPr>
          <w:rFonts w:eastAsia="仿宋_GB2312"/>
          <w:color w:val="000000"/>
          <w:kern w:val="0"/>
          <w:sz w:val="32"/>
          <w:szCs w:val="32"/>
        </w:rPr>
      </w:pP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为落实《高等学校学生心理健康教育指导纲要》（教党〔2018〕41号）、《关于加强新时代学生心理健康教育的意见》（湘办发〔2020〕12号）要求，进一步加强和提升我省高校学生心理健康教育工作的系统性、针对性和实效性，结合我省高校学生心理健康教育工作实际，制定本实施办法。</w:t>
      </w:r>
    </w:p>
    <w:p>
      <w:pPr>
        <w:adjustRightInd w:val="0"/>
        <w:snapToGrid w:val="0"/>
        <w:spacing w:line="600" w:lineRule="exact"/>
        <w:ind w:firstLine="640" w:firstLineChars="200"/>
        <w:rPr>
          <w:rFonts w:ascii="黑体" w:hAnsi="黑体" w:eastAsia="黑体"/>
          <w:color w:val="000000"/>
          <w:kern w:val="0"/>
          <w:sz w:val="32"/>
          <w:szCs w:val="32"/>
        </w:rPr>
      </w:pPr>
      <w:r>
        <w:rPr>
          <w:rFonts w:ascii="黑体" w:hAnsi="黑体" w:eastAsia="黑体"/>
          <w:bCs/>
          <w:color w:val="000000"/>
          <w:kern w:val="0"/>
          <w:sz w:val="32"/>
          <w:szCs w:val="32"/>
        </w:rPr>
        <w:t>一、总体要求</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深入贯彻习近平总书记关于教育尤其是立德树人的重要论述，坚持育心与育德相统一，优化教育教学、实践活动、辅导咨询、预防干预、平台保障“五位一体”心理健康教育工作格局，不断提高心理健康教育专业化水平，有效降低学生心理疾病发生率，最大限度预防和减少学生严重心理危机个案发生，促进学生心理健康素质与思想道德素质、科学文化素质协调发展。</w:t>
      </w:r>
    </w:p>
    <w:p>
      <w:pPr>
        <w:adjustRightInd w:val="0"/>
        <w:snapToGrid w:val="0"/>
        <w:spacing w:line="600" w:lineRule="exact"/>
        <w:ind w:firstLine="640" w:firstLineChars="200"/>
        <w:rPr>
          <w:rFonts w:ascii="黑体" w:hAnsi="黑体" w:eastAsia="黑体"/>
          <w:bCs/>
          <w:color w:val="000000"/>
          <w:sz w:val="32"/>
          <w:szCs w:val="32"/>
        </w:rPr>
      </w:pPr>
      <w:r>
        <w:rPr>
          <w:rFonts w:ascii="黑体" w:hAnsi="黑体" w:eastAsia="黑体"/>
          <w:bCs/>
          <w:color w:val="000000"/>
          <w:sz w:val="32"/>
          <w:szCs w:val="32"/>
        </w:rPr>
        <w:t>二、主要任务</w:t>
      </w:r>
    </w:p>
    <w:p>
      <w:pPr>
        <w:adjustRightInd w:val="0"/>
        <w:snapToGrid w:val="0"/>
        <w:spacing w:line="600" w:lineRule="exact"/>
        <w:ind w:firstLine="640" w:firstLineChars="200"/>
        <w:rPr>
          <w:rFonts w:ascii="楷体_GB2312" w:eastAsia="楷体_GB2312"/>
          <w:bCs/>
          <w:color w:val="000000"/>
          <w:sz w:val="32"/>
          <w:szCs w:val="32"/>
        </w:rPr>
      </w:pPr>
      <w:r>
        <w:rPr>
          <w:rFonts w:hint="eastAsia" w:ascii="楷体_GB2312" w:eastAsia="楷体_GB2312"/>
          <w:bCs/>
          <w:color w:val="000000"/>
          <w:kern w:val="0"/>
          <w:sz w:val="32"/>
          <w:szCs w:val="32"/>
        </w:rPr>
        <w:t>（一）完善课程体系</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把心理健康教育课程纳入学校整体人才培养方案和教学计划，作为普及心理健康知识、传授心理调适技能的主渠道。面向新生开设心理健康教育公共必修课，原则上应设置2个学分、32-36个学时，以面授课程为主，用好省级示范教材；面向其它年级学生（含研究生）开设选修课程，编写选修课教材；开发建设精品网络课程、微课。积极推动心理健康教育教学改革，注重学生的互动、体验和分享；探索建立跨学校、跨学段集体备课制度，定期组织开展教研活动和教学比赛。适时成立全省大学生心理健康教育专家指导委员会（简称“省心指委”）。</w:t>
      </w:r>
    </w:p>
    <w:p>
      <w:pPr>
        <w:adjustRightInd w:val="0"/>
        <w:snapToGrid w:val="0"/>
        <w:spacing w:line="600" w:lineRule="exact"/>
        <w:ind w:firstLine="640" w:firstLineChars="200"/>
        <w:rPr>
          <w:rFonts w:ascii="楷体_GB2312" w:eastAsia="楷体_GB2312"/>
          <w:color w:val="000000"/>
          <w:sz w:val="32"/>
          <w:szCs w:val="32"/>
          <w:highlight w:val="yellow"/>
        </w:rPr>
      </w:pPr>
      <w:r>
        <w:rPr>
          <w:rFonts w:hint="eastAsia" w:ascii="楷体_GB2312" w:eastAsia="楷体_GB2312"/>
          <w:bCs/>
          <w:color w:val="000000"/>
          <w:kern w:val="0"/>
          <w:sz w:val="32"/>
          <w:szCs w:val="32"/>
        </w:rPr>
        <w:t>（二）创新活动载体</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依托“5·25”大学生心理健康日、“10·10”世界精神卫生日等时间节点，开展大学生身心健康专题教育活动；创新课外教育活动形式，开展心理健康主题班会、心理素质拓展、心理沙龙、校园心理情景剧展演等活动；创作、展示心理健康知识宣传教育精品和公益广告，探索融媒体等传播方式，普及自尊自信、理性平和、乐观向上的现代文明理念和心理健康知识；支持、指导学生成立心理互助社团，充分发挥学生主体地位和能动作用。</w:t>
      </w:r>
    </w:p>
    <w:p>
      <w:pPr>
        <w:adjustRightInd w:val="0"/>
        <w:snapToGrid w:val="0"/>
        <w:spacing w:line="600" w:lineRule="exact"/>
        <w:ind w:firstLine="640" w:firstLineChars="200"/>
        <w:rPr>
          <w:rFonts w:ascii="楷体_GB2312" w:eastAsia="楷体_GB2312"/>
          <w:bCs/>
          <w:color w:val="000000"/>
          <w:kern w:val="0"/>
          <w:sz w:val="32"/>
          <w:szCs w:val="32"/>
        </w:rPr>
      </w:pPr>
      <w:r>
        <w:rPr>
          <w:rFonts w:hint="eastAsia" w:ascii="楷体_GB2312" w:eastAsia="楷体_GB2312"/>
          <w:bCs/>
          <w:color w:val="000000"/>
          <w:kern w:val="0"/>
          <w:sz w:val="32"/>
          <w:szCs w:val="32"/>
        </w:rPr>
        <w:t>（三）优化辅导咨询</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精准开展成长辅导。</w:t>
      </w:r>
      <w:r>
        <w:rPr>
          <w:rFonts w:eastAsia="仿宋_GB2312"/>
          <w:color w:val="000000"/>
          <w:sz w:val="32"/>
          <w:szCs w:val="32"/>
        </w:rPr>
        <w:t>高校每个二级院（系）应建成1个标准成长辅导室，完善成长辅导制度。组建以辅导员为主体，班主任、专业教师为骨干，其他思政工作队伍为补充的成长辅导教师队伍，定期举行辅导技能培训，开展案例研讨。针对学生在思想、学业、就业、生活中存在的成长问题与心理困惑，实施分类辅导、精准辅导。</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科学开展心理咨询。高校每个校区要建成1个省级合格心理咨询室，完善咨询预约、转介和重点反馈等工作机制和管理制度，向学生提供及时、连续、有效的咨询服务；每周个体面询时间不少于30小时，其中保证晚上开放2-3小时。根据学生求询需要，聘任校内外兼职心理咨询师，适时开展业务培训、同辈和专家督导。遵守咨询伦理规范，严守保密原则，做好咨询个案记录与档案管理。</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融合开展辅导咨询。</w:t>
      </w:r>
      <w:r>
        <w:rPr>
          <w:rFonts w:eastAsia="仿宋_GB2312"/>
          <w:color w:val="000000"/>
          <w:sz w:val="32"/>
          <w:szCs w:val="32"/>
        </w:rPr>
        <w:t>高校要以成长辅导室与心理咨询室为平台，积极构建教育与指导、辅导与咨询、自助与求助紧密结合的心理健康服务体系。学校心理健康教育专业机构要对二级院（系）成长辅导工作提供业务指导，及时接收、有效处理转介个案。二级院（系）要强化学生日常教育管理与成长辅导的充分结合，发挥成长辅导的发展与预防功能，及时转介心理问题严重的学生。</w:t>
      </w:r>
    </w:p>
    <w:p>
      <w:pPr>
        <w:adjustRightInd w:val="0"/>
        <w:snapToGrid w:val="0"/>
        <w:spacing w:line="600" w:lineRule="exact"/>
        <w:ind w:firstLine="630" w:firstLineChars="197"/>
        <w:rPr>
          <w:rFonts w:ascii="楷体_GB2312" w:eastAsia="楷体_GB2312"/>
          <w:color w:val="000000"/>
          <w:sz w:val="32"/>
          <w:szCs w:val="32"/>
        </w:rPr>
      </w:pPr>
      <w:r>
        <w:rPr>
          <w:rFonts w:hint="eastAsia" w:ascii="楷体_GB2312" w:eastAsia="楷体_GB2312"/>
          <w:bCs/>
          <w:color w:val="000000"/>
          <w:kern w:val="0"/>
          <w:sz w:val="32"/>
          <w:szCs w:val="32"/>
        </w:rPr>
        <w:t>（四）强化预警干预</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落实“五早”预警机制。</w:t>
      </w:r>
      <w:r>
        <w:rPr>
          <w:rFonts w:eastAsia="仿宋_GB2312"/>
          <w:color w:val="000000"/>
          <w:sz w:val="32"/>
          <w:szCs w:val="32"/>
        </w:rPr>
        <w:t>高校要畅通信息渠道，及时、准确掌握学生心理危机预警信息，做到“早发现、早报告、早评估、早预防、早控制”。通过课内课外教育教学活动开展危机通识教育，提高学生自助、求助、助人意识和能力；建立师生信息员队伍；落实辅导员进教室、进班级、进宿舍工作制度，及时发现和处理心理危机预警信息。完善新生、毕业生心理普查方式，推荐使用《中国大学生心理健康筛查量表》和“中国大学生心理健康测评系统”，及时锁定心理危机易感群体；在“新生入学、毕业生离校、放假、考试、开学、重大活动、季节交替”等重要时段组织心理危机排查，及时发现和处理心理危机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完善“五个一”干预机制。</w:t>
      </w:r>
      <w:r>
        <w:rPr>
          <w:rFonts w:eastAsia="仿宋_GB2312"/>
          <w:color w:val="000000"/>
          <w:sz w:val="32"/>
          <w:szCs w:val="32"/>
        </w:rPr>
        <w:t>高校要建立完善心理危机干预工作制度、相关预案和</w:t>
      </w:r>
      <w:r>
        <w:fldChar w:fldCharType="begin"/>
      </w:r>
      <w:r>
        <w:instrText xml:space="preserve"> HYPERLINK "https://baike.sogou.com/lemma/ShowInnerLink.htm?lemmaId=66259890&amp;ss_c=ssc.citiao.link" \t "https://baike.sogou.com/_blank" </w:instrText>
      </w:r>
      <w:r>
        <w:fldChar w:fldCharType="separate"/>
      </w:r>
      <w:r>
        <w:rPr>
          <w:rFonts w:eastAsia="仿宋_GB2312"/>
          <w:color w:val="000000"/>
          <w:sz w:val="32"/>
          <w:szCs w:val="32"/>
        </w:rPr>
        <w:t>快速反应机制</w:t>
      </w:r>
      <w:r>
        <w:rPr>
          <w:rFonts w:eastAsia="仿宋_GB2312"/>
          <w:color w:val="000000"/>
          <w:sz w:val="32"/>
          <w:szCs w:val="32"/>
        </w:rPr>
        <w:fldChar w:fldCharType="end"/>
      </w:r>
      <w:r>
        <w:rPr>
          <w:rFonts w:eastAsia="仿宋_GB2312"/>
          <w:color w:val="000000"/>
          <w:sz w:val="32"/>
          <w:szCs w:val="32"/>
        </w:rPr>
        <w:t>，明确工作流程及相关部门职责。对有严重心理危机的学生要严格落实“一名危机学生、一名领导、一个班子、一套方案、一抓到底”的干预机制，及时建档立库，动态管理。完善心理（精神）疾患学生休、复学管理制度；建立二级院（系）、学校心理健康教育机构、校医院、精神卫生专业机构之间科学有效的转介诊疗机制，对疑似患有心理（精神）疾患、有伤人伤己风险的学生，及时转介精神卫生专业机构。高校应在2022年前与精神卫生专业机构建立转介“绿色通道”，有条件的高校可在校医院设立精神科门诊。</w:t>
      </w:r>
    </w:p>
    <w:p>
      <w:pPr>
        <w:adjustRightInd w:val="0"/>
        <w:snapToGrid w:val="0"/>
        <w:spacing w:line="600" w:lineRule="exact"/>
        <w:ind w:firstLine="630" w:firstLineChars="197"/>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健全“五级”工作系统。</w:t>
      </w:r>
      <w:r>
        <w:rPr>
          <w:rFonts w:eastAsia="仿宋_GB2312"/>
          <w:color w:val="000000"/>
          <w:sz w:val="32"/>
          <w:szCs w:val="32"/>
        </w:rPr>
        <w:t>高校要严格落实《普通高等学校学生管理规定》以及学生违纪处理办法等有关规章制度，加强学生日常教育管理。健全省心指委、学校、院（系）、班级、宿舍心理危机预警防控工作系统，</w:t>
      </w:r>
      <w:r>
        <w:rPr>
          <w:rFonts w:hint="eastAsia" w:eastAsia="仿宋_GB2312"/>
          <w:color w:val="000000"/>
          <w:sz w:val="32"/>
          <w:szCs w:val="32"/>
        </w:rPr>
        <w:t>完善</w:t>
      </w:r>
      <w:r>
        <w:rPr>
          <w:rFonts w:eastAsia="仿宋_GB2312"/>
          <w:color w:val="000000"/>
          <w:sz w:val="32"/>
          <w:szCs w:val="32"/>
        </w:rPr>
        <w:t>教育预防、信息预警、干预管理、转介、预后跟踪的心理危机干预</w:t>
      </w:r>
      <w:r>
        <w:rPr>
          <w:rFonts w:hint="eastAsia" w:eastAsia="仿宋_GB2312"/>
          <w:color w:val="000000"/>
          <w:sz w:val="32"/>
          <w:szCs w:val="32"/>
        </w:rPr>
        <w:t>制度</w:t>
      </w:r>
      <w:r>
        <w:rPr>
          <w:rFonts w:eastAsia="仿宋_GB2312"/>
          <w:color w:val="000000"/>
          <w:sz w:val="32"/>
          <w:szCs w:val="32"/>
        </w:rPr>
        <w:t>。定期在专业教师、辅导员、保卫人员、宿管员、教学楼栋管理员中开展心理危机干预知识培训、案例督导与个案研讨。学校在处理校园公共危机事件同时，要组织心理健康教育专职教师对危机事件当事人及其相关人员提供支持性心理辅导，预防次生心理危机发生。</w:t>
      </w:r>
    </w:p>
    <w:p>
      <w:pPr>
        <w:adjustRightInd w:val="0"/>
        <w:snapToGrid w:val="0"/>
        <w:spacing w:line="600" w:lineRule="exact"/>
        <w:ind w:firstLine="630" w:firstLineChars="197"/>
        <w:rPr>
          <w:rFonts w:ascii="楷体_GB2312" w:eastAsia="楷体_GB2312"/>
          <w:color w:val="000000"/>
          <w:kern w:val="0"/>
          <w:sz w:val="32"/>
          <w:szCs w:val="32"/>
        </w:rPr>
      </w:pPr>
      <w:r>
        <w:rPr>
          <w:rFonts w:hint="eastAsia" w:ascii="楷体_GB2312" w:eastAsia="楷体_GB2312"/>
          <w:bCs/>
          <w:color w:val="000000"/>
          <w:kern w:val="0"/>
          <w:sz w:val="32"/>
          <w:szCs w:val="32"/>
        </w:rPr>
        <w:t>（五）推进平台建设</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教师发展平台。</w:t>
      </w:r>
      <w:r>
        <w:rPr>
          <w:rFonts w:eastAsia="仿宋_GB2312"/>
          <w:color w:val="000000"/>
          <w:sz w:val="32"/>
          <w:szCs w:val="32"/>
        </w:rPr>
        <w:t>发挥省高校大学生心理健康教育研究会、高校思政工作队伍培训研修中心和创新发展中心的作用，强化心理健康教育教师培训，探索辅导员心理健康教育工作上岗培训、认证培训和继续教育工作机制。培育建设一批“心理名师”工作室；推动建立中小学心理健康教育教师培训基地。</w:t>
      </w:r>
    </w:p>
    <w:p>
      <w:pPr>
        <w:adjustRightInd w:val="0"/>
        <w:snapToGrid w:val="0"/>
        <w:spacing w:line="600" w:lineRule="exact"/>
        <w:ind w:firstLine="630" w:firstLineChars="197"/>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科学研究平台。</w:t>
      </w:r>
      <w:r>
        <w:rPr>
          <w:rFonts w:eastAsia="仿宋_GB2312"/>
          <w:color w:val="000000"/>
          <w:sz w:val="32"/>
          <w:szCs w:val="32"/>
        </w:rPr>
        <w:t>设立专项课题，支持心理健康教育理论和实践研究；高校要以国家级、省级、校级项目和课题为纽带，整合研究力量，注重心理健康教育研究成果的转化应用，推动工作科学化、规范化发展</w:t>
      </w:r>
      <w:r>
        <w:rPr>
          <w:rFonts w:eastAsia="仿宋_GB2312"/>
          <w:color w:val="000000"/>
          <w:kern w:val="0"/>
          <w:sz w:val="32"/>
          <w:szCs w:val="32"/>
        </w:rPr>
        <w:t>。</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心理援助平台。</w:t>
      </w:r>
      <w:r>
        <w:rPr>
          <w:rFonts w:eastAsia="仿宋_GB2312"/>
          <w:color w:val="000000"/>
          <w:sz w:val="32"/>
          <w:szCs w:val="32"/>
        </w:rPr>
        <w:t>建立湖南省高校心理援助平台，建好高校心理危机应急响应机制和队伍，为高校师生和社会大众提供心理援助服务。有条件的高校可开通24小时心理援助热线。探索建立网络心理健康教育新媒体平台。</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4</w:t>
      </w:r>
      <w:r>
        <w:rPr>
          <w:rFonts w:hint="eastAsia" w:eastAsia="仿宋_GB2312"/>
          <w:color w:val="000000"/>
          <w:kern w:val="0"/>
          <w:sz w:val="32"/>
          <w:szCs w:val="32"/>
        </w:rPr>
        <w:t>．</w:t>
      </w:r>
      <w:r>
        <w:rPr>
          <w:rFonts w:eastAsia="仿宋_GB2312"/>
          <w:color w:val="000000"/>
          <w:kern w:val="0"/>
          <w:sz w:val="32"/>
          <w:szCs w:val="32"/>
        </w:rPr>
        <w:t>家校联动平台。</w:t>
      </w:r>
      <w:r>
        <w:rPr>
          <w:rFonts w:eastAsia="仿宋_GB2312"/>
          <w:color w:val="000000"/>
          <w:sz w:val="32"/>
          <w:szCs w:val="32"/>
        </w:rPr>
        <w:t>建立家校联动平台，持续向家长宣传心理健康知识，传授心理调适技能；辅导员或班主任、导师每学期与家长直接沟通1次以上，及时掌握学生家庭状况和心理发展状况。</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5</w:t>
      </w:r>
      <w:r>
        <w:rPr>
          <w:rFonts w:hint="eastAsia" w:eastAsia="仿宋_GB2312"/>
          <w:color w:val="000000"/>
          <w:kern w:val="0"/>
          <w:sz w:val="32"/>
          <w:szCs w:val="32"/>
        </w:rPr>
        <w:t>．</w:t>
      </w:r>
      <w:r>
        <w:rPr>
          <w:rFonts w:eastAsia="仿宋_GB2312"/>
          <w:color w:val="000000"/>
          <w:kern w:val="0"/>
          <w:sz w:val="32"/>
          <w:szCs w:val="32"/>
        </w:rPr>
        <w:t>校院（系）工作平台。</w:t>
      </w:r>
      <w:r>
        <w:rPr>
          <w:rFonts w:eastAsia="仿宋_GB2312"/>
          <w:color w:val="000000"/>
          <w:sz w:val="32"/>
          <w:szCs w:val="32"/>
        </w:rPr>
        <w:t>完善校、二级院（系）两级心理健康教育工作平台，建好用好心理咨询室和成长辅导室，构建两级联动机制，提高育人效果。</w:t>
      </w:r>
    </w:p>
    <w:p>
      <w:pPr>
        <w:adjustRightInd w:val="0"/>
        <w:snapToGrid w:val="0"/>
        <w:spacing w:line="600" w:lineRule="exact"/>
        <w:ind w:firstLine="640" w:firstLineChars="200"/>
        <w:rPr>
          <w:rFonts w:ascii="黑体" w:hAnsi="黑体" w:eastAsia="黑体"/>
          <w:bCs/>
          <w:color w:val="000000"/>
          <w:kern w:val="0"/>
          <w:sz w:val="32"/>
          <w:szCs w:val="32"/>
        </w:rPr>
      </w:pPr>
      <w:r>
        <w:rPr>
          <w:rFonts w:ascii="黑体" w:hAnsi="黑体" w:eastAsia="黑体"/>
          <w:bCs/>
          <w:color w:val="000000"/>
          <w:kern w:val="0"/>
          <w:sz w:val="32"/>
          <w:szCs w:val="32"/>
        </w:rPr>
        <w:t>三、保障措施</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（一）组织领导落实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心理健康教育工作是高校 “三全育人”、党建述职评议考核、思政测评、文明校园和平安校园创建等工作的重要内容。高校应成立心理健康教育工作领导小组，要把心理健康教育工作列入学校发展规划、人才培养体系、思想政治工作体系、督导评估指标体系，建立校内各部门统筹协调推进机制。高校要落实全体教职员工心理健康教育职责。教师在教学过程要关注学生思维、情感、态度等心理因素的发展，要充分挖掘课程教材蕴含的心理要素，不断渗透心理健康教育。</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（二）机构设置落实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不断加强心理健康教育机构专业化建设，有条件的高校应建立相对独立的专业机构。要对专业机构定级定岗，机构要具备教育教学、咨询服务、心理危机干预、科学研究和指导二级院（系）开展心理健康教育工作等职责职能；</w:t>
      </w:r>
      <w:r>
        <w:rPr>
          <w:rFonts w:eastAsia="仿宋_GB2312"/>
          <w:color w:val="000000"/>
          <w:kern w:val="0"/>
          <w:sz w:val="32"/>
          <w:szCs w:val="32"/>
        </w:rPr>
        <w:t>按照师生比1:4000且每校至少配备2名的比例，</w:t>
      </w:r>
      <w:r>
        <w:rPr>
          <w:rFonts w:eastAsia="仿宋_GB2312"/>
          <w:color w:val="000000"/>
          <w:sz w:val="32"/>
          <w:szCs w:val="32"/>
        </w:rPr>
        <w:t>配齐配强在编在岗专职教师；新聘专职教师应具备与心理健康教育相关的学科背景；要设立心理健康课程教研室，组建心理健康课程教师队伍。</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（三）队伍建设落实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建设一支以心理健康教育专职教师为骨干、辅导员和兼职心理咨询师等为补充，班级（宿舍）心理委员和朋辈志愿者为桥梁纽带的工作队伍。确保专职教师每年参加专业（含伦理）培训和学术会议不低于40学时，参加心理咨询案例督导不低于12学时；定期对辅导员、导师、班主任、宿管员以及其他从事思政工作的教职员工开展心理健康教育知识工作培训；定期对心理委员、朋辈志愿者等开展心理健康知识和助人技能培训。专职教师开展心理健康教育教学、个体与团体心理咨询、心理危机干预等工作，全面纳入教学考核评价、职称评聘的成果认定或学术性评价内容；专兼职心理咨询师开展个体与团体心理咨询应计算工作量；专职教师要纳入学生思想政治工作队伍管理，并参照一线专职辅导员给予岗位津贴；专业技术职务（职称）评聘应纳入学生思想政治工作队伍系列，评聘要充分考虑工作特点，确保“单列计划、单设标准、单独评审”；支持专职教师在职攻读专业学位，申报各级各类表彰奖励。</w:t>
      </w:r>
    </w:p>
    <w:p>
      <w:pPr>
        <w:adjustRightInd w:val="0"/>
        <w:snapToGrid w:val="0"/>
        <w:spacing w:line="600" w:lineRule="exact"/>
        <w:ind w:firstLine="640" w:firstLineChars="200"/>
        <w:rPr>
          <w:rFonts w:ascii="楷体_GB2312" w:eastAsia="楷体_GB2312"/>
          <w:color w:val="000000"/>
          <w:sz w:val="32"/>
          <w:szCs w:val="32"/>
        </w:rPr>
      </w:pPr>
      <w:r>
        <w:rPr>
          <w:rFonts w:hint="eastAsia" w:ascii="楷体_GB2312" w:eastAsia="楷体_GB2312"/>
          <w:bCs/>
          <w:color w:val="000000"/>
          <w:kern w:val="0"/>
          <w:sz w:val="32"/>
          <w:szCs w:val="32"/>
        </w:rPr>
        <w:t>（四）制度机制落实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充分发挥省心指委作用，建立健全省高校心理健康教育工作评价督导指标体系，组织编写高校学生心理危机预防与干预指导手册，完善会诊和督查制度。高校要制定和完善心理健康教育工作制度，定期开展自评自查，内容包括学校重视和支持程度、机构设置情况、专项经费保障、师资队伍建设、教学科研、辅导与咨询、心理危机干预工作等情况和工作实效；加强对二级院（系）心理健康教育工作督查，结果纳入院（系）领导班子、领导干部年度考核；针对因心理问题发生极端事件的院（系），及时开展工作会诊。</w:t>
      </w:r>
    </w:p>
    <w:p>
      <w:pPr>
        <w:adjustRightInd w:val="0"/>
        <w:snapToGrid w:val="0"/>
        <w:spacing w:line="600" w:lineRule="exact"/>
        <w:ind w:firstLine="630" w:firstLineChars="197"/>
        <w:rPr>
          <w:rFonts w:ascii="楷体_GB2312" w:eastAsia="楷体_GB2312"/>
          <w:color w:val="000000"/>
          <w:sz w:val="32"/>
          <w:szCs w:val="32"/>
        </w:rPr>
      </w:pPr>
      <w:r>
        <w:rPr>
          <w:rFonts w:hint="eastAsia" w:ascii="楷体_GB2312" w:eastAsia="楷体_GB2312"/>
          <w:bCs/>
          <w:color w:val="000000"/>
          <w:kern w:val="0"/>
          <w:sz w:val="32"/>
          <w:szCs w:val="32"/>
        </w:rPr>
        <w:t>（五）条件保障落实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按照生均不低于15元的标准将心理健康教育工作经费纳入学校年度预算，专项单列，专款专用。按照不低于100平米/6000名师生的标准建设布局合理、功能齐全、设施完善的心理咨询室；二级院（系）成长辅导室应具备开展个体辅导和团体辅导的功能。要建设校内外心理素质拓展基地，培育高校心理健康教育优秀工作案例。支持高校通过购买社会服务等形式，为学生提供公益性心理健康服务。有心理学、教育学、精神医学等相关学科的高校应加强学科建设，积极探索中国特色心理健康教育专业人才培养模式，为我省心理健康教育发展提供支撑。</w:t>
      </w:r>
    </w:p>
    <w:p>
      <w:pPr>
        <w:spacing w:line="570" w:lineRule="exact"/>
        <w:contextualSpacing/>
        <w:rPr>
          <w:rFonts w:ascii="Times New Roman" w:hAnsi="Times New Roman" w:eastAsia="方正小标宋_GBK" w:cs="Times New Roman"/>
          <w:sz w:val="182"/>
          <w:szCs w:val="182"/>
        </w:rPr>
      </w:pPr>
      <w:r>
        <w:rPr>
          <w:rFonts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2582545</wp:posOffset>
                </wp:positionH>
                <wp:positionV relativeFrom="paragraph">
                  <wp:posOffset>7830820</wp:posOffset>
                </wp:positionV>
                <wp:extent cx="561975" cy="247650"/>
                <wp:effectExtent l="0" t="0" r="28575" b="19050"/>
                <wp:wrapNone/>
                <wp:docPr id="17" name="矩形 17"/>
                <wp:cNvGraphicFramePr/>
                <a:graphic xmlns:a="http://schemas.openxmlformats.org/drawingml/2006/main">
                  <a:graphicData uri="http://schemas.microsoft.com/office/word/2010/wordprocessingShape">
                    <wps:wsp>
                      <wps:cNvSpPr/>
                      <wps:spPr>
                        <a:xfrm>
                          <a:off x="0" y="0"/>
                          <a:ext cx="5619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3.35pt;margin-top:616.6pt;height:19.5pt;width:44.25pt;z-index:251660288;v-text-anchor:middle;mso-width-relative:page;mso-height-relative:page;" fillcolor="#FFFFFF [3212]" filled="t" stroked="t" coordsize="21600,21600" o:gfxdata="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foDKNwAAAANAQAADwAAAAAAAAABACAAAAAiAAAAZHJzL2Rvd25yZXYueG1sUEsBAhQA&#10;FAAAAAgAh07iQC3Ah65gAgAA3gQAAA4AAAAAAAAAAQAgAAAAKwEAAGRycy9lMm9Eb2MueG1sUEsF&#10;BgAAAAAGAAYAWQEAAP0FAAAAAA==&#10;">
                <v:fill on="t" focussize="0,0"/>
                <v:stroke weight="2pt" color="#FFFFFF [3212]" joinstyle="round"/>
                <v:imagedata o:title=""/>
                <o:lock v:ext="edit" aspectratio="f"/>
              </v:rect>
            </w:pict>
          </mc:Fallback>
        </mc:AlternateContent>
      </w:r>
    </w:p>
    <w:sectPr>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Helvetica Neue">
    <w:altName w:val="Corbel"/>
    <w:panose1 w:val="00000000000000000000"/>
    <w:charset w:val="00"/>
    <w:family w:val="auto"/>
    <w:pitch w:val="default"/>
    <w:sig w:usb0="00000000" w:usb1="00000000" w:usb2="0000001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微软雅黑"/>
    <w:panose1 w:val="03000509000000000000"/>
    <w:charset w:val="86"/>
    <w:family w:val="script"/>
    <w:pitch w:val="default"/>
    <w:sig w:usb0="00000000" w:usb1="00000000" w:usb2="0000001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760271"/>
      <w:docPartObj>
        <w:docPartGallery w:val="autotext"/>
      </w:docPartObj>
    </w:sdtPr>
    <w:sdtContent>
      <w:p>
        <w:pPr>
          <w:pStyle w:val="8"/>
          <w:jc w:val="center"/>
        </w:pPr>
        <w:r>
          <w:fldChar w:fldCharType="begin"/>
        </w:r>
        <w:r>
          <w:instrText xml:space="preserve">PAGE   \* MERGEFORMAT</w:instrText>
        </w:r>
        <w:r>
          <w:fldChar w:fldCharType="separate"/>
        </w:r>
        <w:r>
          <w:rPr>
            <w:lang w:val="zh-CN"/>
          </w:rPr>
          <w:t>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434"/>
      <w:docPartObj>
        <w:docPartGallery w:val="autotext"/>
      </w:docPartObj>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7676309"/>
      <w:docPartObj>
        <w:docPartGallery w:val="autotext"/>
      </w:docPartObj>
    </w:sdtPr>
    <w:sdtContent>
      <w:p>
        <w:pPr>
          <w:pStyle w:val="8"/>
          <w:jc w:val="center"/>
        </w:pPr>
        <w:r>
          <w:fldChar w:fldCharType="begin"/>
        </w:r>
        <w:r>
          <w:instrText xml:space="preserve">PAGE   \* MERGEFORMAT</w:instrText>
        </w:r>
        <w:r>
          <w:fldChar w:fldCharType="separate"/>
        </w:r>
        <w:r>
          <w:rPr>
            <w:lang w:val="zh-CN"/>
          </w:rPr>
          <w:t>37</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20</w:t>
    </w:r>
    <w:r>
      <w:rPr>
        <w:rFonts w:hint="eastAsia" w:ascii="仿宋_GB2312"/>
        <w:sz w:val="28"/>
        <w:szCs w:val="28"/>
      </w:rPr>
      <w:fldChar w:fldCharType="end"/>
    </w:r>
    <w:r>
      <w:rPr>
        <w:rFonts w:hint="eastAsia" w:ascii="仿宋_GB2312"/>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096434"/>
      <w:docPartObj>
        <w:docPartGallery w:val="autotext"/>
      </w:docPartObj>
    </w:sdtPr>
    <w:sdtContent>
      <w:p>
        <w:pPr>
          <w:pStyle w:val="8"/>
          <w:jc w:val="center"/>
        </w:pPr>
        <w:r>
          <w:fldChar w:fldCharType="begin"/>
        </w:r>
        <w:r>
          <w:instrText xml:space="preserve">PAGE   \* MERGEFORMAT</w:instrText>
        </w:r>
        <w:r>
          <w:fldChar w:fldCharType="separate"/>
        </w:r>
        <w:r>
          <w:rPr>
            <w:lang w:val="zh-CN"/>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rPr>
          <w:sz w:val="21"/>
          <w:szCs w:val="21"/>
        </w:rPr>
      </w:pPr>
      <w:r>
        <w:rPr>
          <w:rFonts w:hint="eastAsia"/>
          <w:sz w:val="21"/>
          <w:szCs w:val="21"/>
        </w:rPr>
        <w:t>注1：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MzY3NDRjMGYyZjM3OTU2YTFmMTc3OTczNDE0ZGIifQ=="/>
    <w:docVar w:name="KSO_WPS_MARK_KEY" w:val="4e6f36a8-e0f0-489c-833f-cd1359f1783d"/>
  </w:docVars>
  <w:rsids>
    <w:rsidRoot w:val="00213623"/>
    <w:rsid w:val="00016496"/>
    <w:rsid w:val="00016941"/>
    <w:rsid w:val="00023E7B"/>
    <w:rsid w:val="0003049C"/>
    <w:rsid w:val="000319C7"/>
    <w:rsid w:val="00052095"/>
    <w:rsid w:val="0005357C"/>
    <w:rsid w:val="00067C20"/>
    <w:rsid w:val="00083542"/>
    <w:rsid w:val="00086BAE"/>
    <w:rsid w:val="00094497"/>
    <w:rsid w:val="000A0C07"/>
    <w:rsid w:val="000A2947"/>
    <w:rsid w:val="000A42C3"/>
    <w:rsid w:val="000A68CF"/>
    <w:rsid w:val="000B0F9D"/>
    <w:rsid w:val="000B274A"/>
    <w:rsid w:val="000C0541"/>
    <w:rsid w:val="000C40F5"/>
    <w:rsid w:val="000D3C73"/>
    <w:rsid w:val="000E3121"/>
    <w:rsid w:val="000E40A5"/>
    <w:rsid w:val="000E5676"/>
    <w:rsid w:val="000F118D"/>
    <w:rsid w:val="000F19B9"/>
    <w:rsid w:val="000F516E"/>
    <w:rsid w:val="000F5EC6"/>
    <w:rsid w:val="00100D86"/>
    <w:rsid w:val="00105F39"/>
    <w:rsid w:val="00115E5E"/>
    <w:rsid w:val="00116898"/>
    <w:rsid w:val="00136B95"/>
    <w:rsid w:val="001434A0"/>
    <w:rsid w:val="001459C4"/>
    <w:rsid w:val="0015279B"/>
    <w:rsid w:val="00152E71"/>
    <w:rsid w:val="00153BF0"/>
    <w:rsid w:val="001571C9"/>
    <w:rsid w:val="00176437"/>
    <w:rsid w:val="001767AF"/>
    <w:rsid w:val="00176EC2"/>
    <w:rsid w:val="00184F31"/>
    <w:rsid w:val="00191FAD"/>
    <w:rsid w:val="00193C10"/>
    <w:rsid w:val="001A09A0"/>
    <w:rsid w:val="001A4905"/>
    <w:rsid w:val="001A4D5B"/>
    <w:rsid w:val="001B1178"/>
    <w:rsid w:val="001B2B96"/>
    <w:rsid w:val="001B5F3A"/>
    <w:rsid w:val="001C08B6"/>
    <w:rsid w:val="001D017E"/>
    <w:rsid w:val="001F2AD8"/>
    <w:rsid w:val="001F50FE"/>
    <w:rsid w:val="00203DD1"/>
    <w:rsid w:val="0021066A"/>
    <w:rsid w:val="002112F9"/>
    <w:rsid w:val="00213623"/>
    <w:rsid w:val="0021446C"/>
    <w:rsid w:val="00214A0F"/>
    <w:rsid w:val="00221BC7"/>
    <w:rsid w:val="00221D27"/>
    <w:rsid w:val="00224FBC"/>
    <w:rsid w:val="00236376"/>
    <w:rsid w:val="00236F42"/>
    <w:rsid w:val="0024502F"/>
    <w:rsid w:val="00250CED"/>
    <w:rsid w:val="00253665"/>
    <w:rsid w:val="00261FB9"/>
    <w:rsid w:val="00270FF7"/>
    <w:rsid w:val="00274968"/>
    <w:rsid w:val="00277D37"/>
    <w:rsid w:val="0028332A"/>
    <w:rsid w:val="00295EA5"/>
    <w:rsid w:val="002A3B29"/>
    <w:rsid w:val="002B237D"/>
    <w:rsid w:val="002C1AD3"/>
    <w:rsid w:val="002C2E7D"/>
    <w:rsid w:val="002C71FD"/>
    <w:rsid w:val="002C774A"/>
    <w:rsid w:val="002D01D4"/>
    <w:rsid w:val="002D044F"/>
    <w:rsid w:val="002D0A2B"/>
    <w:rsid w:val="002D54C6"/>
    <w:rsid w:val="002E355F"/>
    <w:rsid w:val="002F0B78"/>
    <w:rsid w:val="00322039"/>
    <w:rsid w:val="00333391"/>
    <w:rsid w:val="00337CFE"/>
    <w:rsid w:val="00341E0D"/>
    <w:rsid w:val="00341F84"/>
    <w:rsid w:val="003433C1"/>
    <w:rsid w:val="0034407E"/>
    <w:rsid w:val="0034622D"/>
    <w:rsid w:val="00352BC0"/>
    <w:rsid w:val="0035329C"/>
    <w:rsid w:val="00356FF0"/>
    <w:rsid w:val="003607E0"/>
    <w:rsid w:val="00360D6E"/>
    <w:rsid w:val="00361D5E"/>
    <w:rsid w:val="00361E40"/>
    <w:rsid w:val="00363897"/>
    <w:rsid w:val="00366775"/>
    <w:rsid w:val="00374841"/>
    <w:rsid w:val="0037690D"/>
    <w:rsid w:val="003838B1"/>
    <w:rsid w:val="00384884"/>
    <w:rsid w:val="003A58A7"/>
    <w:rsid w:val="003A7C68"/>
    <w:rsid w:val="003B481F"/>
    <w:rsid w:val="003B53DF"/>
    <w:rsid w:val="003C3B31"/>
    <w:rsid w:val="003C6915"/>
    <w:rsid w:val="003E773A"/>
    <w:rsid w:val="00405023"/>
    <w:rsid w:val="00412DD1"/>
    <w:rsid w:val="0041677D"/>
    <w:rsid w:val="004206B8"/>
    <w:rsid w:val="00422696"/>
    <w:rsid w:val="0042689E"/>
    <w:rsid w:val="00432D9E"/>
    <w:rsid w:val="004343EC"/>
    <w:rsid w:val="0043466E"/>
    <w:rsid w:val="004406F2"/>
    <w:rsid w:val="00442816"/>
    <w:rsid w:val="004532BB"/>
    <w:rsid w:val="004645C8"/>
    <w:rsid w:val="004677C4"/>
    <w:rsid w:val="004733FD"/>
    <w:rsid w:val="00475A82"/>
    <w:rsid w:val="00495CDA"/>
    <w:rsid w:val="004A4C43"/>
    <w:rsid w:val="004D440D"/>
    <w:rsid w:val="004E1AA8"/>
    <w:rsid w:val="004F0E6C"/>
    <w:rsid w:val="004F380E"/>
    <w:rsid w:val="00502645"/>
    <w:rsid w:val="0051417F"/>
    <w:rsid w:val="00516E4D"/>
    <w:rsid w:val="005233E7"/>
    <w:rsid w:val="0052358F"/>
    <w:rsid w:val="00525BBE"/>
    <w:rsid w:val="005323B9"/>
    <w:rsid w:val="00541C6D"/>
    <w:rsid w:val="00541D32"/>
    <w:rsid w:val="005531E5"/>
    <w:rsid w:val="00557572"/>
    <w:rsid w:val="00561EFF"/>
    <w:rsid w:val="0058355F"/>
    <w:rsid w:val="005841C4"/>
    <w:rsid w:val="00592A61"/>
    <w:rsid w:val="00594750"/>
    <w:rsid w:val="00596525"/>
    <w:rsid w:val="005A16B9"/>
    <w:rsid w:val="005A43DA"/>
    <w:rsid w:val="005A6159"/>
    <w:rsid w:val="005A76FF"/>
    <w:rsid w:val="005C2F47"/>
    <w:rsid w:val="005C48E5"/>
    <w:rsid w:val="005D4D2A"/>
    <w:rsid w:val="005E6D3B"/>
    <w:rsid w:val="005F1E83"/>
    <w:rsid w:val="005F3B6D"/>
    <w:rsid w:val="005F596D"/>
    <w:rsid w:val="00602648"/>
    <w:rsid w:val="00614364"/>
    <w:rsid w:val="00621678"/>
    <w:rsid w:val="00623556"/>
    <w:rsid w:val="00632D7E"/>
    <w:rsid w:val="00642CD2"/>
    <w:rsid w:val="006449CE"/>
    <w:rsid w:val="0064740A"/>
    <w:rsid w:val="00651418"/>
    <w:rsid w:val="00666921"/>
    <w:rsid w:val="00667723"/>
    <w:rsid w:val="00674BA6"/>
    <w:rsid w:val="006955AA"/>
    <w:rsid w:val="006B0B6E"/>
    <w:rsid w:val="006C7162"/>
    <w:rsid w:val="006C7A1B"/>
    <w:rsid w:val="006D1A4B"/>
    <w:rsid w:val="006D6E0B"/>
    <w:rsid w:val="006D7B69"/>
    <w:rsid w:val="006E54A6"/>
    <w:rsid w:val="006F2A26"/>
    <w:rsid w:val="006F72D6"/>
    <w:rsid w:val="007003C8"/>
    <w:rsid w:val="0070392C"/>
    <w:rsid w:val="00706F9D"/>
    <w:rsid w:val="007120B5"/>
    <w:rsid w:val="0071667D"/>
    <w:rsid w:val="007204E0"/>
    <w:rsid w:val="0072334E"/>
    <w:rsid w:val="007311E5"/>
    <w:rsid w:val="007367B5"/>
    <w:rsid w:val="007367B8"/>
    <w:rsid w:val="007404E8"/>
    <w:rsid w:val="00741010"/>
    <w:rsid w:val="0074485E"/>
    <w:rsid w:val="007460DC"/>
    <w:rsid w:val="00746A73"/>
    <w:rsid w:val="0075547B"/>
    <w:rsid w:val="00756DFC"/>
    <w:rsid w:val="00764F36"/>
    <w:rsid w:val="007724FF"/>
    <w:rsid w:val="007733AB"/>
    <w:rsid w:val="00774F3D"/>
    <w:rsid w:val="007847AE"/>
    <w:rsid w:val="00790188"/>
    <w:rsid w:val="007947AC"/>
    <w:rsid w:val="0079711B"/>
    <w:rsid w:val="007A6E4C"/>
    <w:rsid w:val="007B51B0"/>
    <w:rsid w:val="007C0216"/>
    <w:rsid w:val="007C0508"/>
    <w:rsid w:val="007D3C74"/>
    <w:rsid w:val="007D5084"/>
    <w:rsid w:val="007E498E"/>
    <w:rsid w:val="007E5ED0"/>
    <w:rsid w:val="007F4EDE"/>
    <w:rsid w:val="008028CF"/>
    <w:rsid w:val="00802C58"/>
    <w:rsid w:val="00803262"/>
    <w:rsid w:val="008045DB"/>
    <w:rsid w:val="00811830"/>
    <w:rsid w:val="00820404"/>
    <w:rsid w:val="00820B32"/>
    <w:rsid w:val="00824874"/>
    <w:rsid w:val="0083636E"/>
    <w:rsid w:val="00841DB3"/>
    <w:rsid w:val="00847EE8"/>
    <w:rsid w:val="00850228"/>
    <w:rsid w:val="008547EC"/>
    <w:rsid w:val="0085488C"/>
    <w:rsid w:val="00857915"/>
    <w:rsid w:val="00860D9F"/>
    <w:rsid w:val="00864D83"/>
    <w:rsid w:val="008720E4"/>
    <w:rsid w:val="00885033"/>
    <w:rsid w:val="00892FD9"/>
    <w:rsid w:val="0089608B"/>
    <w:rsid w:val="008A2247"/>
    <w:rsid w:val="008A6160"/>
    <w:rsid w:val="008B23B6"/>
    <w:rsid w:val="008B43E8"/>
    <w:rsid w:val="008C214C"/>
    <w:rsid w:val="008C4693"/>
    <w:rsid w:val="008C5312"/>
    <w:rsid w:val="008D042C"/>
    <w:rsid w:val="008D61E1"/>
    <w:rsid w:val="008E019E"/>
    <w:rsid w:val="008E1DF8"/>
    <w:rsid w:val="008F2787"/>
    <w:rsid w:val="008F42EE"/>
    <w:rsid w:val="008F736A"/>
    <w:rsid w:val="009069C2"/>
    <w:rsid w:val="00906FDB"/>
    <w:rsid w:val="009129B0"/>
    <w:rsid w:val="00913695"/>
    <w:rsid w:val="00916236"/>
    <w:rsid w:val="009179A5"/>
    <w:rsid w:val="00924A2E"/>
    <w:rsid w:val="0092573A"/>
    <w:rsid w:val="00926B31"/>
    <w:rsid w:val="00927EBC"/>
    <w:rsid w:val="00933A29"/>
    <w:rsid w:val="009378FC"/>
    <w:rsid w:val="009400B2"/>
    <w:rsid w:val="009439AF"/>
    <w:rsid w:val="00944016"/>
    <w:rsid w:val="0094517F"/>
    <w:rsid w:val="009466A9"/>
    <w:rsid w:val="00960815"/>
    <w:rsid w:val="00965A0F"/>
    <w:rsid w:val="009710E1"/>
    <w:rsid w:val="00973448"/>
    <w:rsid w:val="0098385C"/>
    <w:rsid w:val="0098626B"/>
    <w:rsid w:val="00990D63"/>
    <w:rsid w:val="00990DA3"/>
    <w:rsid w:val="00994A7E"/>
    <w:rsid w:val="009B4552"/>
    <w:rsid w:val="009C39A0"/>
    <w:rsid w:val="009D35FF"/>
    <w:rsid w:val="009F415C"/>
    <w:rsid w:val="009F5F67"/>
    <w:rsid w:val="00A03974"/>
    <w:rsid w:val="00A05D9F"/>
    <w:rsid w:val="00A20BCB"/>
    <w:rsid w:val="00A23EC8"/>
    <w:rsid w:val="00A3301F"/>
    <w:rsid w:val="00A34977"/>
    <w:rsid w:val="00A4318C"/>
    <w:rsid w:val="00A541FF"/>
    <w:rsid w:val="00A54AD5"/>
    <w:rsid w:val="00A5776B"/>
    <w:rsid w:val="00A609A3"/>
    <w:rsid w:val="00A621C2"/>
    <w:rsid w:val="00A62D2D"/>
    <w:rsid w:val="00A669DE"/>
    <w:rsid w:val="00A77F3B"/>
    <w:rsid w:val="00A8078D"/>
    <w:rsid w:val="00A90B00"/>
    <w:rsid w:val="00A955D6"/>
    <w:rsid w:val="00AA0C75"/>
    <w:rsid w:val="00AA6F71"/>
    <w:rsid w:val="00AB0859"/>
    <w:rsid w:val="00AB2879"/>
    <w:rsid w:val="00AB4E3E"/>
    <w:rsid w:val="00AB5A68"/>
    <w:rsid w:val="00AB6E1C"/>
    <w:rsid w:val="00AC4715"/>
    <w:rsid w:val="00AC6749"/>
    <w:rsid w:val="00AC6AE1"/>
    <w:rsid w:val="00AC7138"/>
    <w:rsid w:val="00AD27CA"/>
    <w:rsid w:val="00AD403C"/>
    <w:rsid w:val="00AE511E"/>
    <w:rsid w:val="00AE51E7"/>
    <w:rsid w:val="00AF2163"/>
    <w:rsid w:val="00B031B9"/>
    <w:rsid w:val="00B0383C"/>
    <w:rsid w:val="00B05837"/>
    <w:rsid w:val="00B103E5"/>
    <w:rsid w:val="00B107D2"/>
    <w:rsid w:val="00B1471A"/>
    <w:rsid w:val="00B208A0"/>
    <w:rsid w:val="00B2385A"/>
    <w:rsid w:val="00B3519E"/>
    <w:rsid w:val="00B3764B"/>
    <w:rsid w:val="00B46069"/>
    <w:rsid w:val="00B47942"/>
    <w:rsid w:val="00B51488"/>
    <w:rsid w:val="00B53232"/>
    <w:rsid w:val="00B55B85"/>
    <w:rsid w:val="00B60B04"/>
    <w:rsid w:val="00B62681"/>
    <w:rsid w:val="00B63360"/>
    <w:rsid w:val="00B633CD"/>
    <w:rsid w:val="00B63EE3"/>
    <w:rsid w:val="00B658B4"/>
    <w:rsid w:val="00B70C73"/>
    <w:rsid w:val="00B877A8"/>
    <w:rsid w:val="00B87C80"/>
    <w:rsid w:val="00B975D4"/>
    <w:rsid w:val="00BA3E88"/>
    <w:rsid w:val="00BA4473"/>
    <w:rsid w:val="00BA7849"/>
    <w:rsid w:val="00BB0B67"/>
    <w:rsid w:val="00BC20C3"/>
    <w:rsid w:val="00BC613E"/>
    <w:rsid w:val="00BD00A7"/>
    <w:rsid w:val="00BD477E"/>
    <w:rsid w:val="00BE362F"/>
    <w:rsid w:val="00BE4998"/>
    <w:rsid w:val="00BF181E"/>
    <w:rsid w:val="00BF75A2"/>
    <w:rsid w:val="00C003A7"/>
    <w:rsid w:val="00C01FE7"/>
    <w:rsid w:val="00C1261F"/>
    <w:rsid w:val="00C161E6"/>
    <w:rsid w:val="00C22830"/>
    <w:rsid w:val="00C327A4"/>
    <w:rsid w:val="00C36E2F"/>
    <w:rsid w:val="00C44E5C"/>
    <w:rsid w:val="00C46611"/>
    <w:rsid w:val="00C549E6"/>
    <w:rsid w:val="00C557C9"/>
    <w:rsid w:val="00C56950"/>
    <w:rsid w:val="00C60C86"/>
    <w:rsid w:val="00C8024E"/>
    <w:rsid w:val="00C81027"/>
    <w:rsid w:val="00C83203"/>
    <w:rsid w:val="00C84FE8"/>
    <w:rsid w:val="00C87917"/>
    <w:rsid w:val="00C90F03"/>
    <w:rsid w:val="00C92412"/>
    <w:rsid w:val="00CA268B"/>
    <w:rsid w:val="00CA5CBF"/>
    <w:rsid w:val="00CB0EC0"/>
    <w:rsid w:val="00CB4016"/>
    <w:rsid w:val="00CB7814"/>
    <w:rsid w:val="00CB7F4C"/>
    <w:rsid w:val="00CC1762"/>
    <w:rsid w:val="00CC39CB"/>
    <w:rsid w:val="00CC5ED8"/>
    <w:rsid w:val="00CD0F3E"/>
    <w:rsid w:val="00CD5BCF"/>
    <w:rsid w:val="00CD7FCB"/>
    <w:rsid w:val="00CE47DE"/>
    <w:rsid w:val="00CF5B8F"/>
    <w:rsid w:val="00CF5C8C"/>
    <w:rsid w:val="00CF6924"/>
    <w:rsid w:val="00D02CD4"/>
    <w:rsid w:val="00D03E11"/>
    <w:rsid w:val="00D1308D"/>
    <w:rsid w:val="00D13960"/>
    <w:rsid w:val="00D14245"/>
    <w:rsid w:val="00D20141"/>
    <w:rsid w:val="00D227BB"/>
    <w:rsid w:val="00D24F18"/>
    <w:rsid w:val="00D261CE"/>
    <w:rsid w:val="00D30018"/>
    <w:rsid w:val="00D32B8D"/>
    <w:rsid w:val="00D33796"/>
    <w:rsid w:val="00D35A98"/>
    <w:rsid w:val="00D436A8"/>
    <w:rsid w:val="00D43E81"/>
    <w:rsid w:val="00D55EDC"/>
    <w:rsid w:val="00D5607B"/>
    <w:rsid w:val="00D56B45"/>
    <w:rsid w:val="00D657A3"/>
    <w:rsid w:val="00D67340"/>
    <w:rsid w:val="00D85F04"/>
    <w:rsid w:val="00D9311A"/>
    <w:rsid w:val="00D9480D"/>
    <w:rsid w:val="00DA4646"/>
    <w:rsid w:val="00DA4C55"/>
    <w:rsid w:val="00DC2455"/>
    <w:rsid w:val="00DD00EE"/>
    <w:rsid w:val="00DD746F"/>
    <w:rsid w:val="00DF3E68"/>
    <w:rsid w:val="00DF3EA2"/>
    <w:rsid w:val="00DF59DD"/>
    <w:rsid w:val="00DF78EF"/>
    <w:rsid w:val="00E0252A"/>
    <w:rsid w:val="00E0363A"/>
    <w:rsid w:val="00E03AF2"/>
    <w:rsid w:val="00E06666"/>
    <w:rsid w:val="00E142F7"/>
    <w:rsid w:val="00E213FC"/>
    <w:rsid w:val="00E226F7"/>
    <w:rsid w:val="00E33123"/>
    <w:rsid w:val="00E34871"/>
    <w:rsid w:val="00E40B72"/>
    <w:rsid w:val="00E440BF"/>
    <w:rsid w:val="00E53697"/>
    <w:rsid w:val="00E57985"/>
    <w:rsid w:val="00E679ED"/>
    <w:rsid w:val="00E73D4B"/>
    <w:rsid w:val="00E80199"/>
    <w:rsid w:val="00E868D8"/>
    <w:rsid w:val="00E91719"/>
    <w:rsid w:val="00E952A4"/>
    <w:rsid w:val="00EA1713"/>
    <w:rsid w:val="00EB1074"/>
    <w:rsid w:val="00EB787C"/>
    <w:rsid w:val="00EC3DDC"/>
    <w:rsid w:val="00ED5816"/>
    <w:rsid w:val="00EE1C6D"/>
    <w:rsid w:val="00EF1877"/>
    <w:rsid w:val="00EF5E9E"/>
    <w:rsid w:val="00EF6396"/>
    <w:rsid w:val="00F0591D"/>
    <w:rsid w:val="00F22F02"/>
    <w:rsid w:val="00F36C35"/>
    <w:rsid w:val="00F45078"/>
    <w:rsid w:val="00F47AA0"/>
    <w:rsid w:val="00F52F85"/>
    <w:rsid w:val="00F55E34"/>
    <w:rsid w:val="00F563D6"/>
    <w:rsid w:val="00F64278"/>
    <w:rsid w:val="00F6516F"/>
    <w:rsid w:val="00F75214"/>
    <w:rsid w:val="00F77AB0"/>
    <w:rsid w:val="00F83E81"/>
    <w:rsid w:val="00F97A98"/>
    <w:rsid w:val="00FA036E"/>
    <w:rsid w:val="00FB2DB8"/>
    <w:rsid w:val="00FB5DAB"/>
    <w:rsid w:val="00FC366F"/>
    <w:rsid w:val="00FD0D0F"/>
    <w:rsid w:val="00FD2836"/>
    <w:rsid w:val="00FD4C00"/>
    <w:rsid w:val="00FD581C"/>
    <w:rsid w:val="00FF7354"/>
    <w:rsid w:val="09960972"/>
    <w:rsid w:val="64A8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9"/>
    <w:pPr>
      <w:keepNext/>
      <w:keepLines/>
      <w:adjustRightInd w:val="0"/>
      <w:snapToGrid w:val="0"/>
      <w:spacing w:line="600" w:lineRule="exact"/>
      <w:outlineLvl w:val="0"/>
    </w:pPr>
    <w:rPr>
      <w:rFonts w:eastAsia="方正小标宋简体"/>
      <w:bCs/>
      <w:kern w:val="44"/>
      <w:sz w:val="44"/>
      <w:szCs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51"/>
    <w:qFormat/>
    <w:uiPriority w:val="0"/>
    <w:pPr>
      <w:spacing w:after="120"/>
    </w:pPr>
    <w:rPr>
      <w:rFonts w:ascii="Times New Roman" w:hAnsi="Times New Roman" w:eastAsia="宋体" w:cs="Times New Roman"/>
      <w:szCs w:val="24"/>
    </w:rPr>
  </w:style>
  <w:style w:type="paragraph" w:styleId="4">
    <w:name w:val="Body Text Indent"/>
    <w:basedOn w:val="1"/>
    <w:link w:val="82"/>
    <w:qFormat/>
    <w:uiPriority w:val="0"/>
    <w:pPr>
      <w:ind w:firstLine="540"/>
    </w:pPr>
    <w:rPr>
      <w:rFonts w:ascii="仿宋_GB2312" w:hAnsi="Times New Roman" w:eastAsia="仿宋_GB2312" w:cs="Times New Roman"/>
      <w:sz w:val="32"/>
      <w:szCs w:val="20"/>
    </w:rPr>
  </w:style>
  <w:style w:type="paragraph" w:styleId="5">
    <w:name w:val="Date"/>
    <w:basedOn w:val="1"/>
    <w:next w:val="1"/>
    <w:link w:val="26"/>
    <w:unhideWhenUsed/>
    <w:qFormat/>
    <w:uiPriority w:val="99"/>
    <w:pPr>
      <w:ind w:left="100" w:leftChars="2500"/>
    </w:pPr>
  </w:style>
  <w:style w:type="paragraph" w:styleId="6">
    <w:name w:val="Body Text Indent 2"/>
    <w:basedOn w:val="1"/>
    <w:link w:val="84"/>
    <w:qFormat/>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38"/>
    <w:unhideWhenUsed/>
    <w:qFormat/>
    <w:uiPriority w:val="99"/>
    <w:pPr>
      <w:widowControl/>
      <w:pBdr>
        <w:top w:val="none" w:color="auto" w:sz="0" w:space="0"/>
        <w:left w:val="none" w:color="auto" w:sz="0" w:space="0"/>
        <w:bottom w:val="none" w:color="auto" w:sz="0" w:space="0"/>
        <w:right w:val="none" w:color="auto" w:sz="0" w:space="0"/>
        <w:between w:val="none" w:color="auto" w:sz="0" w:space="0"/>
      </w:pBdr>
      <w:jc w:val="left"/>
    </w:pPr>
    <w:rPr>
      <w:rFonts w:ascii="Arial Unicode MS" w:hAnsi="Arial Unicode MS" w:eastAsia="Tahoma" w:cs="Arial Unicode MS"/>
      <w:color w:val="000000"/>
      <w:sz w:val="18"/>
      <w:szCs w:val="18"/>
      <w:u w:color="000000"/>
    </w:rPr>
  </w:style>
  <w:style w:type="paragraph" w:styleId="8">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toc 1"/>
    <w:basedOn w:val="1"/>
    <w:next w:val="1"/>
    <w:qFormat/>
    <w:uiPriority w:val="39"/>
    <w:pPr>
      <w:tabs>
        <w:tab w:val="right" w:leader="dot" w:pos="8303"/>
      </w:tabs>
      <w:spacing w:line="240" w:lineRule="exact"/>
    </w:pPr>
    <w:rPr>
      <w:rFonts w:ascii="Times New Roman" w:hAnsi="Times New Roman" w:eastAsia="仿宋_GB2312" w:cs="Times New Roman"/>
      <w:sz w:val="32"/>
      <w:szCs w:val="32"/>
      <w:shd w:val="clear" w:color="auto" w:fill="FFFFFF"/>
    </w:rPr>
  </w:style>
  <w:style w:type="paragraph" w:styleId="11">
    <w:name w:val="footnote text"/>
    <w:basedOn w:val="1"/>
    <w:link w:val="53"/>
    <w:unhideWhenUsed/>
    <w:qFormat/>
    <w:uiPriority w:val="99"/>
    <w:pPr>
      <w:snapToGrid w:val="0"/>
      <w:jc w:val="left"/>
    </w:pPr>
    <w:rPr>
      <w:rFonts w:ascii="Times New Roman" w:hAnsi="Times New Roman" w:eastAsia="宋体" w:cs="Times New Roman"/>
      <w:kern w:val="0"/>
      <w:sz w:val="18"/>
      <w:szCs w:val="18"/>
    </w:rPr>
  </w:style>
  <w:style w:type="paragraph" w:styleId="12">
    <w:name w:val="toc 2"/>
    <w:basedOn w:val="1"/>
    <w:next w:val="1"/>
    <w:qFormat/>
    <w:uiPriority w:val="39"/>
    <w:pPr>
      <w:ind w:left="420" w:leftChars="200"/>
    </w:pPr>
    <w:rPr>
      <w:rFonts w:ascii="Times New Roman" w:hAnsi="Times New Roman" w:eastAsia="宋体" w:cs="Times New Roman"/>
      <w:szCs w:val="24"/>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54"/>
    <w:qFormat/>
    <w:uiPriority w:val="99"/>
    <w:pPr>
      <w:spacing w:before="240" w:after="60"/>
      <w:jc w:val="center"/>
      <w:outlineLvl w:val="0"/>
    </w:pPr>
    <w:rPr>
      <w:rFonts w:ascii="Cambria" w:hAnsi="Cambria" w:eastAsia="宋体" w:cs="Cambria"/>
      <w:b/>
      <w:bCs/>
      <w:kern w:val="0"/>
      <w:sz w:val="32"/>
      <w:szCs w:val="32"/>
    </w:rPr>
  </w:style>
  <w:style w:type="table" w:styleId="16">
    <w:name w:val="Table Grid"/>
    <w:basedOn w:val="1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1">
    <w:name w:val="Emphasis"/>
    <w:qFormat/>
    <w:uiPriority w:val="0"/>
    <w:rPr>
      <w:i/>
      <w:iCs/>
    </w:rPr>
  </w:style>
  <w:style w:type="character" w:styleId="22">
    <w:name w:val="Hyperlink"/>
    <w:unhideWhenUsed/>
    <w:qFormat/>
    <w:uiPriority w:val="0"/>
    <w:rPr>
      <w:color w:val="0000FF"/>
      <w:u w:val="single"/>
    </w:rPr>
  </w:style>
  <w:style w:type="character" w:styleId="23">
    <w:name w:val="footnote reference"/>
    <w:unhideWhenUsed/>
    <w:qFormat/>
    <w:uiPriority w:val="99"/>
    <w:rPr>
      <w:vertAlign w:val="superscript"/>
    </w:rPr>
  </w:style>
  <w:style w:type="paragraph" w:styleId="24">
    <w:name w:val="List Paragraph"/>
    <w:basedOn w:val="1"/>
    <w:qFormat/>
    <w:uiPriority w:val="99"/>
    <w:pPr>
      <w:ind w:firstLine="420" w:firstLineChars="200"/>
    </w:pPr>
  </w:style>
  <w:style w:type="character" w:customStyle="1" w:styleId="25">
    <w:name w:val="标题 1 Char"/>
    <w:basedOn w:val="17"/>
    <w:link w:val="2"/>
    <w:qFormat/>
    <w:uiPriority w:val="99"/>
    <w:rPr>
      <w:rFonts w:eastAsia="方正小标宋简体"/>
      <w:bCs/>
      <w:kern w:val="44"/>
      <w:sz w:val="44"/>
      <w:szCs w:val="44"/>
    </w:rPr>
  </w:style>
  <w:style w:type="character" w:customStyle="1" w:styleId="26">
    <w:name w:val="日期 Char"/>
    <w:basedOn w:val="17"/>
    <w:link w:val="5"/>
    <w:qFormat/>
    <w:uiPriority w:val="99"/>
  </w:style>
  <w:style w:type="character" w:customStyle="1" w:styleId="27">
    <w:name w:val="页脚 Char"/>
    <w:basedOn w:val="17"/>
    <w:qFormat/>
    <w:uiPriority w:val="99"/>
    <w:rPr>
      <w:sz w:val="18"/>
      <w:szCs w:val="18"/>
    </w:rPr>
  </w:style>
  <w:style w:type="character" w:customStyle="1" w:styleId="28">
    <w:name w:val="页脚 Char1"/>
    <w:basedOn w:val="17"/>
    <w:link w:val="8"/>
    <w:qFormat/>
    <w:uiPriority w:val="99"/>
    <w:rPr>
      <w:rFonts w:ascii="Times New Roman" w:hAnsi="Times New Roman" w:eastAsia="宋体" w:cs="Times New Roman"/>
      <w:sz w:val="18"/>
      <w:szCs w:val="18"/>
    </w:rPr>
  </w:style>
  <w:style w:type="character" w:customStyle="1" w:styleId="29">
    <w:name w:val="页眉 Char"/>
    <w:basedOn w:val="17"/>
    <w:qFormat/>
    <w:uiPriority w:val="99"/>
    <w:rPr>
      <w:sz w:val="18"/>
      <w:szCs w:val="18"/>
    </w:rPr>
  </w:style>
  <w:style w:type="character" w:customStyle="1" w:styleId="30">
    <w:name w:val="页眉 Char1"/>
    <w:basedOn w:val="17"/>
    <w:link w:val="9"/>
    <w:qFormat/>
    <w:uiPriority w:val="99"/>
    <w:rPr>
      <w:rFonts w:ascii="Times New Roman" w:hAnsi="Times New Roman" w:eastAsia="宋体" w:cs="Times New Roman"/>
      <w:sz w:val="18"/>
      <w:szCs w:val="18"/>
    </w:rPr>
  </w:style>
  <w:style w:type="character" w:customStyle="1" w:styleId="31">
    <w:name w:val="Footer Char"/>
    <w:qFormat/>
    <w:locked/>
    <w:uiPriority w:val="0"/>
    <w:rPr>
      <w:rFonts w:ascii="Times New Roman" w:hAnsi="Times New Roman" w:eastAsia="宋体" w:cs="Times New Roman"/>
      <w:sz w:val="20"/>
      <w:szCs w:val="20"/>
    </w:rPr>
  </w:style>
  <w:style w:type="character" w:customStyle="1" w:styleId="32">
    <w:name w:val="日期 Char1"/>
    <w:basedOn w:val="17"/>
    <w:qFormat/>
    <w:uiPriority w:val="99"/>
    <w:rPr>
      <w:rFonts w:ascii="Times New Roman" w:hAnsi="Times New Roman" w:eastAsia="宋体" w:cs="Times New Roman"/>
      <w:szCs w:val="24"/>
    </w:rPr>
  </w:style>
  <w:style w:type="character" w:customStyle="1" w:styleId="33">
    <w:name w:val="Char Char1"/>
    <w:qFormat/>
    <w:uiPriority w:val="0"/>
    <w:rPr>
      <w:kern w:val="2"/>
      <w:sz w:val="18"/>
      <w:szCs w:val="18"/>
    </w:rPr>
  </w:style>
  <w:style w:type="paragraph" w:customStyle="1" w:styleId="34">
    <w:name w:val="列出段落1"/>
    <w:basedOn w:val="1"/>
    <w:qFormat/>
    <w:uiPriority w:val="99"/>
    <w:pPr>
      <w:spacing w:line="360" w:lineRule="auto"/>
      <w:ind w:firstLine="420" w:firstLineChars="200"/>
    </w:pPr>
    <w:rPr>
      <w:rFonts w:ascii="Calibri" w:hAnsi="Calibri" w:eastAsia="宋体" w:cs="宋体"/>
      <w:szCs w:val="21"/>
    </w:rPr>
  </w:style>
  <w:style w:type="character" w:customStyle="1" w:styleId="35">
    <w:name w:val="页脚 字符"/>
    <w:uiPriority w:val="99"/>
    <w:rPr>
      <w:sz w:val="18"/>
      <w:szCs w:val="18"/>
    </w:rPr>
  </w:style>
  <w:style w:type="table" w:customStyle="1" w:styleId="36">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37">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kern w:val="0"/>
      <w:sz w:val="24"/>
      <w:szCs w:val="24"/>
      <w:lang w:val="en-US" w:eastAsia="zh-CN" w:bidi="ar-SA"/>
    </w:rPr>
  </w:style>
  <w:style w:type="character" w:customStyle="1" w:styleId="38">
    <w:name w:val="批注框文本 Char2"/>
    <w:link w:val="7"/>
    <w:qFormat/>
    <w:uiPriority w:val="99"/>
    <w:rPr>
      <w:rFonts w:ascii="Arial Unicode MS" w:hAnsi="Arial Unicode MS" w:eastAsia="Tahoma" w:cs="Arial Unicode MS"/>
      <w:color w:val="000000"/>
      <w:sz w:val="18"/>
      <w:szCs w:val="18"/>
      <w:u w:color="000000"/>
    </w:rPr>
  </w:style>
  <w:style w:type="character" w:customStyle="1" w:styleId="39">
    <w:name w:val="批注框文本 Char"/>
    <w:basedOn w:val="17"/>
    <w:qFormat/>
    <w:uiPriority w:val="99"/>
    <w:rPr>
      <w:sz w:val="18"/>
      <w:szCs w:val="18"/>
    </w:rPr>
  </w:style>
  <w:style w:type="character" w:customStyle="1" w:styleId="40">
    <w:name w:val="批注框文本 Char1"/>
    <w:basedOn w:val="17"/>
    <w:qFormat/>
    <w:uiPriority w:val="99"/>
    <w:rPr>
      <w:rFonts w:ascii="Times New Roman" w:hAnsi="Times New Roman" w:eastAsia="宋体" w:cs="Times New Roman"/>
      <w:sz w:val="18"/>
      <w:szCs w:val="18"/>
    </w:rPr>
  </w:style>
  <w:style w:type="character" w:customStyle="1" w:styleId="41">
    <w:name w:val="批注框文本 字符"/>
    <w:qFormat/>
    <w:uiPriority w:val="0"/>
    <w:rPr>
      <w:kern w:val="2"/>
      <w:sz w:val="18"/>
      <w:szCs w:val="18"/>
    </w:rPr>
  </w:style>
  <w:style w:type="character" w:customStyle="1" w:styleId="42">
    <w:name w:val="标题 1 Char2"/>
    <w:qFormat/>
    <w:uiPriority w:val="9"/>
    <w:rPr>
      <w:rFonts w:ascii="Times New Roman" w:hAnsi="Times New Roman" w:eastAsia="方正小标宋简体" w:cs="Times New Roman"/>
      <w:b/>
      <w:bCs/>
      <w:kern w:val="36"/>
      <w:sz w:val="36"/>
      <w:szCs w:val="44"/>
    </w:rPr>
  </w:style>
  <w:style w:type="paragraph" w:customStyle="1" w:styleId="43">
    <w:name w:val="TOC Heading"/>
    <w:basedOn w:val="2"/>
    <w:next w:val="1"/>
    <w:semiHidden/>
    <w:unhideWhenUsed/>
    <w:qFormat/>
    <w:uiPriority w:val="39"/>
    <w:pPr>
      <w:widowControl/>
      <w:adjustRightInd/>
      <w:snapToGrid/>
      <w:spacing w:before="480" w:line="276" w:lineRule="auto"/>
      <w:jc w:val="left"/>
      <w:outlineLvl w:val="9"/>
    </w:pPr>
    <w:rPr>
      <w:rFonts w:ascii="Cambria" w:hAnsi="Cambria" w:eastAsia="宋体" w:cs="Times New Roman"/>
      <w:b/>
      <w:color w:val="365F91"/>
      <w:kern w:val="0"/>
      <w:sz w:val="28"/>
      <w:szCs w:val="28"/>
    </w:rPr>
  </w:style>
  <w:style w:type="character" w:customStyle="1" w:styleId="44">
    <w:name w:val="标题 1 Char1"/>
    <w:qFormat/>
    <w:uiPriority w:val="9"/>
    <w:rPr>
      <w:rFonts w:ascii="Times New Roman" w:hAnsi="Times New Roman" w:eastAsia="方正小标宋简体" w:cs="Times New Roman"/>
      <w:b/>
      <w:bCs/>
      <w:kern w:val="36"/>
      <w:sz w:val="36"/>
      <w:szCs w:val="44"/>
    </w:rPr>
  </w:style>
  <w:style w:type="character" w:customStyle="1" w:styleId="45">
    <w:name w:val="页眉 字符"/>
    <w:qFormat/>
    <w:uiPriority w:val="0"/>
    <w:rPr>
      <w:rFonts w:ascii="Times New Roman" w:hAnsi="Times New Roman" w:eastAsia="宋体" w:cs="Times New Roman"/>
      <w:sz w:val="18"/>
      <w:szCs w:val="18"/>
    </w:rPr>
  </w:style>
  <w:style w:type="character" w:customStyle="1" w:styleId="46">
    <w:name w:val="页脚 字符1"/>
    <w:qFormat/>
    <w:uiPriority w:val="99"/>
    <w:rPr>
      <w:rFonts w:ascii="Times New Roman" w:hAnsi="Times New Roman" w:eastAsia="宋体" w:cs="Times New Roman"/>
      <w:sz w:val="18"/>
      <w:szCs w:val="18"/>
    </w:rPr>
  </w:style>
  <w:style w:type="character" w:customStyle="1" w:styleId="47">
    <w:name w:val="日期 字符"/>
    <w:uiPriority w:val="0"/>
    <w:rPr>
      <w:rFonts w:ascii="Times New Roman" w:hAnsi="Times New Roman" w:eastAsia="宋体" w:cs="Times New Roman"/>
      <w:szCs w:val="24"/>
    </w:rPr>
  </w:style>
  <w:style w:type="character" w:customStyle="1" w:styleId="48">
    <w:name w:val="批注框文本 字符1"/>
    <w:qFormat/>
    <w:uiPriority w:val="99"/>
    <w:rPr>
      <w:rFonts w:ascii="Arial Unicode MS" w:hAnsi="Arial Unicode MS" w:eastAsia="Tahoma" w:cs="Arial Unicode MS"/>
      <w:color w:val="000000"/>
      <w:sz w:val="18"/>
      <w:szCs w:val="18"/>
      <w:u w:color="000000"/>
    </w:rPr>
  </w:style>
  <w:style w:type="character" w:customStyle="1" w:styleId="49">
    <w:name w:val="标题 1 字符"/>
    <w:qFormat/>
    <w:uiPriority w:val="9"/>
    <w:rPr>
      <w:rFonts w:ascii="Times New Roman" w:hAnsi="Times New Roman" w:eastAsia="方正小标宋简体" w:cs="Times New Roman"/>
      <w:b/>
      <w:bCs/>
      <w:kern w:val="36"/>
      <w:sz w:val="36"/>
      <w:szCs w:val="44"/>
    </w:rPr>
  </w:style>
  <w:style w:type="character" w:customStyle="1" w:styleId="50">
    <w:name w:val="正文文本 Char"/>
    <w:basedOn w:val="17"/>
    <w:qFormat/>
    <w:uiPriority w:val="0"/>
  </w:style>
  <w:style w:type="character" w:customStyle="1" w:styleId="51">
    <w:name w:val="正文文本 Char1"/>
    <w:basedOn w:val="17"/>
    <w:link w:val="3"/>
    <w:uiPriority w:val="0"/>
    <w:rPr>
      <w:rFonts w:ascii="Times New Roman" w:hAnsi="Times New Roman" w:eastAsia="宋体" w:cs="Times New Roman"/>
      <w:szCs w:val="24"/>
    </w:rPr>
  </w:style>
  <w:style w:type="character" w:customStyle="1" w:styleId="52">
    <w:name w:val="脚注文本 Char"/>
    <w:basedOn w:val="17"/>
    <w:qFormat/>
    <w:uiPriority w:val="99"/>
    <w:rPr>
      <w:sz w:val="18"/>
      <w:szCs w:val="18"/>
    </w:rPr>
  </w:style>
  <w:style w:type="character" w:customStyle="1" w:styleId="53">
    <w:name w:val="脚注文本 Char1"/>
    <w:basedOn w:val="17"/>
    <w:link w:val="11"/>
    <w:uiPriority w:val="99"/>
    <w:rPr>
      <w:rFonts w:ascii="Times New Roman" w:hAnsi="Times New Roman" w:eastAsia="宋体" w:cs="Times New Roman"/>
      <w:kern w:val="0"/>
      <w:sz w:val="18"/>
      <w:szCs w:val="18"/>
    </w:rPr>
  </w:style>
  <w:style w:type="character" w:customStyle="1" w:styleId="54">
    <w:name w:val="标题 Char"/>
    <w:basedOn w:val="17"/>
    <w:link w:val="14"/>
    <w:qFormat/>
    <w:uiPriority w:val="99"/>
    <w:rPr>
      <w:rFonts w:ascii="Cambria" w:hAnsi="Cambria" w:eastAsia="宋体" w:cs="Cambria"/>
      <w:b/>
      <w:bCs/>
      <w:kern w:val="0"/>
      <w:sz w:val="32"/>
      <w:szCs w:val="32"/>
    </w:rPr>
  </w:style>
  <w:style w:type="table" w:customStyle="1" w:styleId="55">
    <w:name w:val="网格型1"/>
    <w:basedOn w:val="1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9">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0">
    <w:name w:val="xl64"/>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6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7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7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7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7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74">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6">
    <w:name w:val="xl80"/>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77">
    <w:name w:val="xl81"/>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78">
    <w:name w:val="xl82"/>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7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character" w:customStyle="1" w:styleId="82">
    <w:name w:val="正文文本缩进 Char"/>
    <w:basedOn w:val="17"/>
    <w:link w:val="4"/>
    <w:qFormat/>
    <w:uiPriority w:val="0"/>
    <w:rPr>
      <w:rFonts w:ascii="仿宋_GB2312" w:hAnsi="Times New Roman" w:eastAsia="仿宋_GB2312" w:cs="Times New Roman"/>
      <w:sz w:val="32"/>
      <w:szCs w:val="20"/>
    </w:rPr>
  </w:style>
  <w:style w:type="paragraph" w:customStyle="1" w:styleId="83">
    <w:name w:val="Char Char Char Char Char Char Char Char Char Char Char Char Char Char Char Char Char"/>
    <w:basedOn w:val="1"/>
    <w:qFormat/>
    <w:uiPriority w:val="0"/>
    <w:pPr>
      <w:tabs>
        <w:tab w:val="left" w:pos="1020"/>
      </w:tabs>
      <w:ind w:left="840" w:hanging="420"/>
    </w:pPr>
    <w:rPr>
      <w:rFonts w:ascii="仿宋_GB2312" w:hAnsi="Times New Roman" w:eastAsia="仿宋_GB2312" w:cs="Times New Roman"/>
      <w:spacing w:val="-4"/>
      <w:sz w:val="32"/>
      <w:szCs w:val="20"/>
    </w:rPr>
  </w:style>
  <w:style w:type="character" w:customStyle="1" w:styleId="84">
    <w:name w:val="正文文本缩进 2 Char"/>
    <w:basedOn w:val="17"/>
    <w:link w:val="6"/>
    <w:qFormat/>
    <w:uiPriority w:val="0"/>
    <w:rPr>
      <w:rFonts w:ascii="Times New Roman" w:hAnsi="Times New Roman" w:eastAsia="宋体" w:cs="Times New Roman"/>
      <w:szCs w:val="24"/>
    </w:rPr>
  </w:style>
  <w:style w:type="paragraph" w:customStyle="1" w:styleId="85">
    <w:name w:val="p0"/>
    <w:basedOn w:val="1"/>
    <w:qFormat/>
    <w:uiPriority w:val="99"/>
    <w:pPr>
      <w:widowControl/>
    </w:pPr>
    <w:rPr>
      <w:rFonts w:ascii="Times New Roman" w:hAnsi="Times New Roman" w:eastAsia="宋体" w:cs="Times New Roman"/>
      <w:kern w:val="0"/>
      <w:szCs w:val="21"/>
    </w:rPr>
  </w:style>
  <w:style w:type="table" w:customStyle="1" w:styleId="86">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styleId="8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9DCA0-5B3C-430A-9F74-99545A2AC1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26454</Words>
  <Characters>27204</Characters>
  <Lines>218</Lines>
  <Paragraphs>61</Paragraphs>
  <TotalTime>113</TotalTime>
  <ScaleCrop>false</ScaleCrop>
  <LinksUpToDate>false</LinksUpToDate>
  <CharactersWithSpaces>27979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2021-03-15T09:17:00Z</dcterms:created>
  <dc:creator>李永睿</dc:creator>
  <cp:lastModifiedBy>Admin</cp:lastModifiedBy>
  <cp:lastPrinted>2020-03-30T06:03:00Z</cp:lastPrinted>
  <dcterms:modified xsi:type="dcterms:W3CDTF">2023-03-01T05:32:19Z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A3826B6F429340F7A1384800363A5F81</vt:lpwstr>
  </property>
</Properties>
</file>